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FFC2D" w14:textId="1C3FD1BA" w:rsidR="00E60F7D" w:rsidRPr="00F20894" w:rsidRDefault="00E60F7D" w:rsidP="00E60F7D">
      <w:pPr>
        <w:pStyle w:val="SOPLevel1"/>
        <w:numPr>
          <w:ilvl w:val="0"/>
          <w:numId w:val="2"/>
        </w:numPr>
      </w:pPr>
      <w:r w:rsidRPr="00F20894">
        <w:t>PURPOSE</w:t>
      </w:r>
    </w:p>
    <w:p w14:paraId="293A32E0" w14:textId="6B4F8986" w:rsidR="00E60F7D" w:rsidRPr="00F20894" w:rsidRDefault="00E60F7D" w:rsidP="00E60F7D">
      <w:pPr>
        <w:pStyle w:val="SOPLevel2"/>
        <w:numPr>
          <w:ilvl w:val="1"/>
          <w:numId w:val="2"/>
        </w:numPr>
      </w:pPr>
      <w:r w:rsidRPr="00F20894">
        <w:t xml:space="preserve">This policy establishes definitions followed by the </w:t>
      </w:r>
      <w:r w:rsidR="007A6D01">
        <w:t>University</w:t>
      </w:r>
      <w:r w:rsidRPr="00F20894">
        <w:t>.</w:t>
      </w:r>
    </w:p>
    <w:p w14:paraId="38BE7DC3" w14:textId="77777777" w:rsidR="00E60F7D" w:rsidRPr="00F20894" w:rsidRDefault="00E60F7D" w:rsidP="00E60F7D">
      <w:pPr>
        <w:pStyle w:val="SOPLevel1"/>
        <w:numPr>
          <w:ilvl w:val="0"/>
          <w:numId w:val="2"/>
        </w:numPr>
      </w:pPr>
      <w:r w:rsidRPr="00F20894">
        <w:t>POLICY</w:t>
      </w:r>
    </w:p>
    <w:p w14:paraId="7EEB7921" w14:textId="46B8FF53" w:rsidR="00E60F7D" w:rsidRDefault="00E60F7D" w:rsidP="00BD3193">
      <w:pPr>
        <w:pStyle w:val="SOPLevel2"/>
      </w:pPr>
      <w:r w:rsidRPr="00F20894">
        <w:t>&lt;Allegation of Noncompliance&gt;: An unproven assertion of &lt;Noncompliance</w:t>
      </w:r>
      <w:r>
        <w:t>&gt;.</w:t>
      </w:r>
    </w:p>
    <w:p w14:paraId="2A92D848" w14:textId="52D02EE2" w:rsidR="00E60F7D" w:rsidRPr="00F20894" w:rsidRDefault="00E60F7D" w:rsidP="00E60F7D">
      <w:pPr>
        <w:pStyle w:val="SOPLevel2"/>
        <w:numPr>
          <w:ilvl w:val="1"/>
          <w:numId w:val="2"/>
        </w:numPr>
      </w:pPr>
      <w:r w:rsidRPr="00F20894">
        <w:t>&lt;Children&gt;: Persons who have not attained the legal age for consent to treatments or procedures involved in the research, under the applicable law of the jurisdiction in which the research will be conducted</w:t>
      </w:r>
      <w:r>
        <w:t>.</w:t>
      </w:r>
    </w:p>
    <w:p w14:paraId="5E800E35" w14:textId="77777777" w:rsidR="00E60F7D" w:rsidRDefault="00E60F7D" w:rsidP="00E60F7D">
      <w:pPr>
        <w:pStyle w:val="SOPLevel2"/>
        <w:numPr>
          <w:ilvl w:val="1"/>
          <w:numId w:val="2"/>
        </w:numPr>
      </w:pPr>
      <w:r w:rsidRPr="00F20894">
        <w:t>&lt;Classified Research&gt;: Research involving any information or material, regardless of its physical form or characteristics, that is owned by the United States Government, and determined pursuant to Executive Order 12356, April 2, 1982 or prior orders to require protection against unauthorized disclosure, and is so designated</w:t>
      </w:r>
      <w:r>
        <w:t>.</w:t>
      </w:r>
    </w:p>
    <w:p w14:paraId="71ADEF1A" w14:textId="77777777" w:rsidR="00E60F7D" w:rsidRDefault="00E60F7D" w:rsidP="00E60F7D">
      <w:pPr>
        <w:pStyle w:val="SOPLevel2"/>
        <w:numPr>
          <w:ilvl w:val="1"/>
          <w:numId w:val="2"/>
        </w:numPr>
      </w:pPr>
      <w:r>
        <w:t>&lt;Clinical Investigation&gt;: A synonym for &lt;Research as Defined by FDA&gt;.</w:t>
      </w:r>
    </w:p>
    <w:p w14:paraId="55F1B42B" w14:textId="1E240371" w:rsidR="009770FB" w:rsidRDefault="009770FB" w:rsidP="00BF3303">
      <w:pPr>
        <w:pStyle w:val="SOPLevel2"/>
      </w:pPr>
      <w:r>
        <w:t xml:space="preserve">&lt;Clinical Trial as Defined by 45 CFR </w:t>
      </w:r>
      <w:r w:rsidRPr="00BD3193">
        <w:t>§</w:t>
      </w:r>
      <w:r>
        <w:t>46&gt;: A research study in which one or more human subjects are prospectively assigned to one or more interventions (which may include placebo or other control) to evaluate the effects of the interventions on biomedical or behavioral health-related outcomes.</w:t>
      </w:r>
    </w:p>
    <w:p w14:paraId="6CE05A58" w14:textId="3CDF19E8" w:rsidR="00E60F7D" w:rsidRPr="00F20894" w:rsidRDefault="00E60F7D" w:rsidP="00E60F7D">
      <w:pPr>
        <w:pStyle w:val="SOPLevel2"/>
        <w:numPr>
          <w:ilvl w:val="1"/>
          <w:numId w:val="2"/>
        </w:numPr>
      </w:pPr>
      <w:r w:rsidRPr="00F20894">
        <w:t>&lt;Committee Review&gt;: All review processes that require a convened IRB.</w:t>
      </w:r>
    </w:p>
    <w:p w14:paraId="3C4D1096" w14:textId="77777777" w:rsidR="00042DE3" w:rsidRDefault="00042DE3" w:rsidP="00042DE3">
      <w:pPr>
        <w:pStyle w:val="SOPLevel2"/>
        <w:numPr>
          <w:ilvl w:val="1"/>
          <w:numId w:val="2"/>
        </w:numPr>
      </w:pPr>
      <w:r>
        <w:t xml:space="preserve">&lt;Compassionate Use&gt;: </w:t>
      </w:r>
      <w:r w:rsidRPr="00F20894">
        <w:t>The use of a</w:t>
      </w:r>
      <w:r>
        <w:t>n unapproved</w:t>
      </w:r>
      <w:r w:rsidRPr="00F20894">
        <w:t xml:space="preserve"> </w:t>
      </w:r>
      <w:r>
        <w:t>device on an individual</w:t>
      </w:r>
      <w:r w:rsidRPr="00F20894">
        <w:t xml:space="preserve"> </w:t>
      </w:r>
      <w:r>
        <w:t>who has a life-threatening or serious disease or condition and no generally acceptable alternative treatment for the condition exists</w:t>
      </w:r>
      <w:r w:rsidRPr="00F20894">
        <w:t>.</w:t>
      </w:r>
    </w:p>
    <w:p w14:paraId="199D7730" w14:textId="77777777" w:rsidR="00E60F7D" w:rsidRPr="00F20894" w:rsidRDefault="00E60F7D" w:rsidP="00E60F7D">
      <w:pPr>
        <w:pStyle w:val="SOPLevel2"/>
        <w:numPr>
          <w:ilvl w:val="1"/>
          <w:numId w:val="2"/>
        </w:numPr>
      </w:pPr>
      <w:r w:rsidRPr="00F20894">
        <w:t xml:space="preserve">&lt;Conflicting Interest&gt;: An IRB member </w:t>
      </w:r>
      <w:r>
        <w:t xml:space="preserve">or consultant </w:t>
      </w:r>
      <w:r w:rsidRPr="00F20894">
        <w:t>has a conflicting interest if any of the fo</w:t>
      </w:r>
      <w:r>
        <w:t xml:space="preserve">llowing are true for the member/consultant </w:t>
      </w:r>
      <w:r w:rsidRPr="00F20894">
        <w:t xml:space="preserve">or </w:t>
      </w:r>
      <w:r>
        <w:t xml:space="preserve">an individual in </w:t>
      </w:r>
      <w:r w:rsidRPr="00F20894">
        <w:t xml:space="preserve">the member’s </w:t>
      </w:r>
      <w:r>
        <w:t>&lt;Immediate Family&gt;</w:t>
      </w:r>
      <w:r w:rsidRPr="00F20894">
        <w:t>:</w:t>
      </w:r>
    </w:p>
    <w:p w14:paraId="48F22801" w14:textId="7CE63DE5" w:rsidR="00E60F7D" w:rsidRPr="00F20894" w:rsidRDefault="00E60F7D" w:rsidP="00E60F7D">
      <w:pPr>
        <w:pStyle w:val="SOPLevel3"/>
        <w:numPr>
          <w:ilvl w:val="2"/>
          <w:numId w:val="2"/>
        </w:numPr>
      </w:pPr>
      <w:r w:rsidRPr="00F20894">
        <w:t>Involvement in the design</w:t>
      </w:r>
      <w:r>
        <w:t>,</w:t>
      </w:r>
      <w:r w:rsidRPr="00F20894">
        <w:t xml:space="preserve"> conduct</w:t>
      </w:r>
      <w:r>
        <w:t>,</w:t>
      </w:r>
      <w:r w:rsidRPr="00F20894">
        <w:t xml:space="preserve"> or reporting of the research</w:t>
      </w:r>
      <w:r>
        <w:t>,</w:t>
      </w:r>
    </w:p>
    <w:p w14:paraId="0CF597B7" w14:textId="77777777" w:rsidR="00E60F7D" w:rsidRPr="00F20894" w:rsidRDefault="00E60F7D" w:rsidP="00E60F7D">
      <w:pPr>
        <w:pStyle w:val="SOPLevel3"/>
        <w:numPr>
          <w:ilvl w:val="2"/>
          <w:numId w:val="2"/>
        </w:numPr>
      </w:pPr>
      <w:r w:rsidRPr="00F20894">
        <w:t>Equity interest &lt;Related to the Research&gt;, exclusive of</w:t>
      </w:r>
      <w:r>
        <w:t xml:space="preserve"> interests through mutual funds,</w:t>
      </w:r>
    </w:p>
    <w:p w14:paraId="44CA09CB" w14:textId="77777777" w:rsidR="00E60F7D" w:rsidRPr="00F20894" w:rsidRDefault="00E60F7D" w:rsidP="00E60F7D">
      <w:pPr>
        <w:pStyle w:val="SOPLevel3"/>
        <w:numPr>
          <w:ilvl w:val="2"/>
          <w:numId w:val="2"/>
        </w:numPr>
      </w:pPr>
      <w:r w:rsidRPr="00F20894">
        <w:t>Compensation &lt;Related to the Research&gt;</w:t>
      </w:r>
      <w:r>
        <w:t xml:space="preserve"> in the preceding 12 months,</w:t>
      </w:r>
    </w:p>
    <w:p w14:paraId="15E68112" w14:textId="77777777" w:rsidR="00E60F7D" w:rsidRDefault="00E60F7D" w:rsidP="00E60F7D">
      <w:pPr>
        <w:pStyle w:val="SOPLevel3"/>
        <w:numPr>
          <w:ilvl w:val="2"/>
          <w:numId w:val="2"/>
        </w:numPr>
      </w:pPr>
      <w:r w:rsidRPr="00F20894">
        <w:t>Proprietary interest &lt;Related to the Research&gt;, including copyrights, or patents, trademarks</w:t>
      </w:r>
      <w:r>
        <w:t>,</w:t>
      </w:r>
    </w:p>
    <w:p w14:paraId="46F25E97" w14:textId="77777777" w:rsidR="00E60F7D" w:rsidRPr="00F20894" w:rsidRDefault="00E60F7D" w:rsidP="00E60F7D">
      <w:pPr>
        <w:pStyle w:val="SOPLevel3"/>
        <w:numPr>
          <w:ilvl w:val="2"/>
          <w:numId w:val="2"/>
        </w:numPr>
      </w:pPr>
      <w:r>
        <w:t>Any other reason for which the IRB member believes that he or she cannot be objective.</w:t>
      </w:r>
    </w:p>
    <w:p w14:paraId="5B239288" w14:textId="77777777" w:rsidR="00E60F7D" w:rsidRDefault="00E60F7D" w:rsidP="00E60F7D">
      <w:pPr>
        <w:pStyle w:val="SOPLevel2"/>
        <w:numPr>
          <w:ilvl w:val="1"/>
          <w:numId w:val="2"/>
        </w:numPr>
      </w:pPr>
      <w:r w:rsidRPr="00F20894">
        <w:t>&lt;Continuing Noncompliance&gt;: A pattern of &lt;Noncompliance&gt; that is likely to continue without intervention or failure to work with the IRB to resolve &lt;Noncompliance</w:t>
      </w:r>
      <w:r>
        <w:t>&gt;.</w:t>
      </w:r>
    </w:p>
    <w:p w14:paraId="7EB956C6" w14:textId="77777777" w:rsidR="00E60F7D" w:rsidRDefault="00E60F7D" w:rsidP="00E60F7D">
      <w:pPr>
        <w:pStyle w:val="SOPLevel2"/>
        <w:numPr>
          <w:ilvl w:val="1"/>
          <w:numId w:val="2"/>
        </w:numPr>
      </w:pPr>
      <w:r>
        <w:t>&lt;Designated Reviewer&gt;: An &lt;Experienced IRB member&gt; designated by the [IRB Executive Chair] to conduct &lt;Non-Committee&gt; review.</w:t>
      </w:r>
    </w:p>
    <w:p w14:paraId="2742F54C" w14:textId="77777777" w:rsidR="00E60F7D" w:rsidRPr="00F20894" w:rsidRDefault="00E60F7D" w:rsidP="00E60F7D">
      <w:pPr>
        <w:pStyle w:val="SOPLevel2"/>
        <w:numPr>
          <w:ilvl w:val="1"/>
          <w:numId w:val="2"/>
        </w:numPr>
      </w:pPr>
      <w:r w:rsidRPr="00F20894">
        <w:t>&lt;Emergency Use&gt;</w:t>
      </w:r>
      <w:r>
        <w:t>:</w:t>
      </w:r>
      <w:r w:rsidRPr="00F20894">
        <w:t xml:space="preserve"> The use of a</w:t>
      </w:r>
      <w:r>
        <w:t>n unapproved</w:t>
      </w:r>
      <w:r w:rsidRPr="00F20894">
        <w:t xml:space="preserve"> </w:t>
      </w:r>
      <w:r>
        <w:t xml:space="preserve">drug, biologic, or device on an individual in </w:t>
      </w:r>
      <w:r w:rsidRPr="00F20894">
        <w:t>a life-threatening situation in which no standard acceptable treatment is available, and in which there is not sufficient time to obtain IRB approval.</w:t>
      </w:r>
    </w:p>
    <w:p w14:paraId="4EC938C1" w14:textId="77777777" w:rsidR="00E60F7D" w:rsidRDefault="00E60F7D" w:rsidP="00E60F7D">
      <w:pPr>
        <w:pStyle w:val="SOPLevel2"/>
        <w:numPr>
          <w:ilvl w:val="1"/>
          <w:numId w:val="2"/>
        </w:numPr>
      </w:pPr>
      <w:r w:rsidRPr="00F20894">
        <w:t xml:space="preserve">&lt;End Approval Date&gt;: The last date that a </w:t>
      </w:r>
      <w:r>
        <w:t>study</w:t>
      </w:r>
      <w:r w:rsidRPr="00F20894">
        <w:t xml:space="preserve"> is IRB approved and the last date that a </w:t>
      </w:r>
      <w:r>
        <w:t>study</w:t>
      </w:r>
      <w:r w:rsidRPr="00F20894">
        <w:t xml:space="preserve"> can be conducted witho</w:t>
      </w:r>
      <w:r>
        <w:t>ut undergoing continuing review.</w:t>
      </w:r>
    </w:p>
    <w:p w14:paraId="18931D48" w14:textId="065464F1" w:rsidR="00E60F7D" w:rsidRPr="00002D18" w:rsidRDefault="00E60F7D" w:rsidP="00E60F7D">
      <w:pPr>
        <w:pStyle w:val="SOPLevel2"/>
        <w:numPr>
          <w:ilvl w:val="1"/>
          <w:numId w:val="2"/>
        </w:numPr>
      </w:pPr>
      <w:r>
        <w:t>&lt;</w:t>
      </w:r>
      <w:r w:rsidRPr="00002D18">
        <w:t>Experienced IRB Member</w:t>
      </w:r>
      <w:r>
        <w:t>&gt;</w:t>
      </w:r>
      <w:r w:rsidRPr="00002D18">
        <w:t xml:space="preserve">: An IRB member </w:t>
      </w:r>
      <w:r>
        <w:t xml:space="preserve">who </w:t>
      </w:r>
      <w:r w:rsidR="00EC73EA">
        <w:t xml:space="preserve">based on professional competence </w:t>
      </w:r>
      <w:r>
        <w:t xml:space="preserve">in the opinion of </w:t>
      </w:r>
      <w:r w:rsidRPr="00002D18">
        <w:t xml:space="preserve">the </w:t>
      </w:r>
      <w:r>
        <w:t>[IRB Executive Chair] has</w:t>
      </w:r>
      <w:r w:rsidRPr="00002D18">
        <w:t xml:space="preserve"> </w:t>
      </w:r>
      <w:r>
        <w:t>gained</w:t>
      </w:r>
      <w:r w:rsidRPr="00002D18">
        <w:t xml:space="preserve"> over </w:t>
      </w:r>
      <w:proofErr w:type="gramStart"/>
      <w:r w:rsidRPr="00002D18">
        <w:t>a period of time</w:t>
      </w:r>
      <w:proofErr w:type="gramEnd"/>
      <w:r w:rsidRPr="00002D18">
        <w:t xml:space="preserve"> </w:t>
      </w:r>
      <w:r>
        <w:t xml:space="preserve">sufficient </w:t>
      </w:r>
      <w:r w:rsidRPr="00002D18">
        <w:t xml:space="preserve">knowledge </w:t>
      </w:r>
      <w:r>
        <w:t>and</w:t>
      </w:r>
      <w:r w:rsidRPr="00002D18">
        <w:t xml:space="preserve"> skill in </w:t>
      </w:r>
      <w:r>
        <w:t>conducting IRB reviews to serve as &lt;Designated Reviewer&gt;</w:t>
      </w:r>
      <w:r w:rsidRPr="00002D18">
        <w:t>.</w:t>
      </w:r>
    </w:p>
    <w:p w14:paraId="7B067C6F" w14:textId="6402B780" w:rsidR="00E60F7D" w:rsidRDefault="00E60F7D" w:rsidP="00C25499">
      <w:pPr>
        <w:pStyle w:val="SOPLevel2"/>
      </w:pPr>
      <w:r w:rsidRPr="00F20894">
        <w:t>&lt;E</w:t>
      </w:r>
      <w:r>
        <w:t>xpiration</w:t>
      </w:r>
      <w:r w:rsidRPr="00F20894">
        <w:t xml:space="preserve"> Date&gt;: </w:t>
      </w:r>
      <w:r>
        <w:t>The day after the &lt;End Approval Date&gt;.</w:t>
      </w:r>
    </w:p>
    <w:p w14:paraId="42E09F8B" w14:textId="77777777" w:rsidR="00E60F7D" w:rsidRPr="00F20894" w:rsidRDefault="00E60F7D" w:rsidP="00E60F7D">
      <w:pPr>
        <w:pStyle w:val="SOPLevel2"/>
        <w:numPr>
          <w:ilvl w:val="1"/>
          <w:numId w:val="2"/>
        </w:numPr>
      </w:pPr>
      <w:r w:rsidRPr="00F20894">
        <w:t>&lt;Fetus&gt;: The product of conception from implantation until delivery</w:t>
      </w:r>
      <w:r>
        <w:t>.</w:t>
      </w:r>
    </w:p>
    <w:p w14:paraId="3E555CA8" w14:textId="77777777" w:rsidR="00E60F7D" w:rsidRPr="00F20894" w:rsidRDefault="00E60F7D" w:rsidP="00E60F7D">
      <w:pPr>
        <w:pStyle w:val="SOPLevel2"/>
        <w:numPr>
          <w:ilvl w:val="1"/>
          <w:numId w:val="2"/>
        </w:numPr>
      </w:pPr>
      <w:r w:rsidRPr="00F20894">
        <w:t>&lt;Guardian&gt;: An individual who is authorized under applicable State or local law to consent on behalf of a child to general medical care</w:t>
      </w:r>
      <w:r>
        <w:t>.</w:t>
      </w:r>
    </w:p>
    <w:p w14:paraId="6BD0659B" w14:textId="77777777" w:rsidR="00E60F7D" w:rsidRDefault="00E60F7D" w:rsidP="00E60F7D">
      <w:pPr>
        <w:pStyle w:val="SOPLevel2"/>
        <w:numPr>
          <w:ilvl w:val="1"/>
          <w:numId w:val="2"/>
        </w:numPr>
      </w:pPr>
      <w:r w:rsidRPr="00F20894">
        <w:t>&lt;Human Research as Defined by FDA&gt;: Any activity that is &lt;Research as Defined by FDA&gt; and involves &lt;Human Subjects as Defined by FDA</w:t>
      </w:r>
      <w:r>
        <w:t>&gt;.</w:t>
      </w:r>
    </w:p>
    <w:p w14:paraId="34D6DD93" w14:textId="77777777" w:rsidR="00E60F7D" w:rsidRDefault="00E60F7D" w:rsidP="00E60F7D">
      <w:pPr>
        <w:pStyle w:val="SOPLevel2"/>
        <w:numPr>
          <w:ilvl w:val="1"/>
          <w:numId w:val="2"/>
        </w:numPr>
      </w:pPr>
      <w:r w:rsidRPr="00F20894">
        <w:t>&lt;Human Research as Defined by HHS&gt;: Any activity that is &lt;Research as Defined by HHS&gt; and involves &lt;Human Subjects as Defined by HHS</w:t>
      </w:r>
      <w:r>
        <w:t>&gt;.</w:t>
      </w:r>
    </w:p>
    <w:p w14:paraId="31FF2A64" w14:textId="77777777" w:rsidR="00E60F7D" w:rsidRDefault="00E60F7D" w:rsidP="00E60F7D">
      <w:pPr>
        <w:pStyle w:val="SOPLevel2"/>
        <w:numPr>
          <w:ilvl w:val="1"/>
          <w:numId w:val="2"/>
        </w:numPr>
      </w:pPr>
      <w:r w:rsidRPr="00F20894">
        <w:lastRenderedPageBreak/>
        <w:t>&lt;Human Research&gt;: Any activity that is &lt;Human Research as Defined by HHS&gt; or &lt;Human Research as Defined by FDA</w:t>
      </w:r>
      <w:r>
        <w:t>&gt;.</w:t>
      </w:r>
    </w:p>
    <w:p w14:paraId="250A1DF0" w14:textId="77777777" w:rsidR="00E60F7D" w:rsidRPr="00F20894" w:rsidRDefault="00E60F7D" w:rsidP="00E60F7D">
      <w:pPr>
        <w:pStyle w:val="SOPLevel2"/>
        <w:numPr>
          <w:ilvl w:val="1"/>
          <w:numId w:val="2"/>
        </w:numPr>
      </w:pPr>
      <w:r w:rsidRPr="00F20894">
        <w:t>&lt;Human Subject as Defined by FDA&gt;: An individual who is or becomes a participant in &lt;Research as Defined by FDA&gt;, either as a recipient of the test article or as a control, or an individual on whose specimen an investigational device is used</w:t>
      </w:r>
      <w:r>
        <w:t>.</w:t>
      </w:r>
    </w:p>
    <w:p w14:paraId="295DC9A3" w14:textId="5D564242" w:rsidR="00197E46" w:rsidRDefault="00E60F7D" w:rsidP="00D518C5">
      <w:pPr>
        <w:pStyle w:val="SOPLevel2"/>
      </w:pPr>
      <w:r w:rsidRPr="00F20894">
        <w:t>&lt;Human Subject as Defined by HHS&gt;:</w:t>
      </w:r>
    </w:p>
    <w:p w14:paraId="68DC1F37" w14:textId="37AFA0C3" w:rsidR="00E60F7D" w:rsidRDefault="00B94AF8" w:rsidP="00F11725">
      <w:pPr>
        <w:pStyle w:val="SOPLevel3"/>
      </w:pPr>
      <w:r>
        <w:t xml:space="preserve">For </w:t>
      </w:r>
      <w:r w:rsidR="000501A0">
        <w:t>&lt;R</w:t>
      </w:r>
      <w:r>
        <w:t>esearch</w:t>
      </w:r>
      <w:r w:rsidR="00D518C5" w:rsidRPr="00D518C5">
        <w:t xml:space="preserve"> </w:t>
      </w:r>
      <w:r w:rsidR="000501A0">
        <w:t xml:space="preserve">as Defined by HHS&gt; </w:t>
      </w:r>
      <w:r w:rsidR="00422927">
        <w:t>s</w:t>
      </w:r>
      <w:r w:rsidR="00D518C5" w:rsidRPr="00D518C5">
        <w:t xml:space="preserve">ubject to </w:t>
      </w:r>
      <w:r w:rsidR="00414793">
        <w:t xml:space="preserve">the </w:t>
      </w:r>
      <w:r w:rsidR="00D90516">
        <w:t>&lt;Original</w:t>
      </w:r>
      <w:r w:rsidR="005552B8">
        <w:t> Rule&gt;</w:t>
      </w:r>
      <w:r w:rsidR="00D518C5">
        <w:t>:</w:t>
      </w:r>
      <w:r w:rsidR="009F41C6">
        <w:t xml:space="preserve"> </w:t>
      </w:r>
      <w:r w:rsidR="00E60F7D" w:rsidRPr="00F20894">
        <w:t xml:space="preserve">A living individual about whom an investigator conducting &lt;Research as Defined by HHS&gt; obtains (1) data through </w:t>
      </w:r>
      <w:r w:rsidR="00E60F7D">
        <w:t>&lt;Intervention&gt;</w:t>
      </w:r>
      <w:r w:rsidR="00E60F7D" w:rsidRPr="00F20894">
        <w:t xml:space="preserve"> or </w:t>
      </w:r>
      <w:r w:rsidR="00E60F7D">
        <w:t>&lt;Interaction&gt;</w:t>
      </w:r>
      <w:r w:rsidR="00E60F7D" w:rsidRPr="00F20894">
        <w:t xml:space="preserve"> with the individual, or (2) </w:t>
      </w:r>
      <w:r w:rsidR="00E60F7D">
        <w:t>information that is both &lt;I</w:t>
      </w:r>
      <w:r w:rsidR="00E60F7D" w:rsidRPr="00F20894">
        <w:t xml:space="preserve">dentifiable </w:t>
      </w:r>
      <w:r w:rsidR="00E60F7D">
        <w:t xml:space="preserve">Information&gt; </w:t>
      </w:r>
      <w:r w:rsidR="00E60F7D" w:rsidRPr="00F20894">
        <w:t xml:space="preserve">and </w:t>
      </w:r>
      <w:r w:rsidR="00E60F7D">
        <w:t>&lt;P</w:t>
      </w:r>
      <w:r w:rsidR="00E60F7D" w:rsidRPr="00F20894">
        <w:t xml:space="preserve">rivate </w:t>
      </w:r>
      <w:r w:rsidR="00E60F7D">
        <w:t>I</w:t>
      </w:r>
      <w:r w:rsidR="00E60F7D" w:rsidRPr="00F20894">
        <w:t>nformation</w:t>
      </w:r>
      <w:r w:rsidR="00E60F7D">
        <w:t>&gt;.</w:t>
      </w:r>
    </w:p>
    <w:p w14:paraId="422866C9" w14:textId="2D504E46" w:rsidR="00004DC8" w:rsidRDefault="00B94AF8" w:rsidP="00422927">
      <w:pPr>
        <w:pStyle w:val="SOPLevel3"/>
      </w:pPr>
      <w:r>
        <w:t xml:space="preserve">For </w:t>
      </w:r>
      <w:r w:rsidR="000501A0">
        <w:t>&lt;Research</w:t>
      </w:r>
      <w:r w:rsidR="000501A0" w:rsidRPr="00D518C5">
        <w:t xml:space="preserve"> </w:t>
      </w:r>
      <w:r w:rsidR="000501A0">
        <w:t xml:space="preserve">as Defined by HHS&gt; </w:t>
      </w:r>
      <w:r w:rsidR="00422927">
        <w:t>s</w:t>
      </w:r>
      <w:r w:rsidR="00422927" w:rsidRPr="00D518C5">
        <w:t xml:space="preserve">ubject to </w:t>
      </w:r>
      <w:r w:rsidR="00414793">
        <w:t xml:space="preserve">the </w:t>
      </w:r>
      <w:r w:rsidR="00D90516">
        <w:t>&lt;Revised</w:t>
      </w:r>
      <w:r w:rsidR="005552B8">
        <w:t> Rule&gt;</w:t>
      </w:r>
      <w:r w:rsidR="00852B4D">
        <w:t xml:space="preserve"> or </w:t>
      </w:r>
      <w:r w:rsidR="00414793">
        <w:t xml:space="preserve">the </w:t>
      </w:r>
      <w:r w:rsidR="00852B4D">
        <w:t>&lt;Hybrid</w:t>
      </w:r>
      <w:r w:rsidR="005552B8">
        <w:t> Rule&gt;</w:t>
      </w:r>
      <w:r w:rsidR="00422927">
        <w:t xml:space="preserve">: </w:t>
      </w:r>
      <w:r w:rsidR="00422927" w:rsidRPr="00F20894">
        <w:t>A living individual about whom an investigator conducting &lt;Research as Defined by HHS&gt;</w:t>
      </w:r>
      <w:r w:rsidR="009E4905">
        <w:t>:</w:t>
      </w:r>
    </w:p>
    <w:p w14:paraId="1A887381" w14:textId="77777777" w:rsidR="00197E46" w:rsidRDefault="00004DC8" w:rsidP="00004DC8">
      <w:pPr>
        <w:pStyle w:val="SOPLevel4"/>
      </w:pPr>
      <w:r>
        <w:t>O</w:t>
      </w:r>
      <w:r w:rsidR="00422927" w:rsidRPr="00F20894">
        <w:t xml:space="preserve">btains </w:t>
      </w:r>
      <w:r w:rsidR="00422927">
        <w:t>information or biospecimens through &lt;Intervention&gt; or &lt;Interaction&gt; with the individual, and uses, studies, or analyzes the information or biospecimens; or</w:t>
      </w:r>
    </w:p>
    <w:p w14:paraId="55C8004A" w14:textId="6251A5C4" w:rsidR="00422927" w:rsidRPr="00F20894" w:rsidRDefault="00422927" w:rsidP="00004DC8">
      <w:pPr>
        <w:pStyle w:val="SOPLevel4"/>
      </w:pPr>
      <w:r>
        <w:t>Obtains, uses, studies, analyzes, or generates &lt;</w:t>
      </w:r>
      <w:r w:rsidRPr="00F20894">
        <w:t xml:space="preserve">Identifiable </w:t>
      </w:r>
      <w:r>
        <w:t>Private I</w:t>
      </w:r>
      <w:r w:rsidRPr="00F20894">
        <w:t>nformation</w:t>
      </w:r>
      <w:r>
        <w:t>&gt;</w:t>
      </w:r>
      <w:r w:rsidR="00004DC8">
        <w:t xml:space="preserve"> or &lt;</w:t>
      </w:r>
      <w:r w:rsidR="00004DC8" w:rsidRPr="00F20894">
        <w:t xml:space="preserve">Identifiable </w:t>
      </w:r>
      <w:r w:rsidR="00004DC8">
        <w:t>Biospecimens&gt;</w:t>
      </w:r>
      <w:r>
        <w:t>.</w:t>
      </w:r>
    </w:p>
    <w:p w14:paraId="2524ED3D" w14:textId="0CF9A4ED" w:rsidR="00F942A3" w:rsidRDefault="00F3373F" w:rsidP="0012122A">
      <w:pPr>
        <w:pStyle w:val="SOPLevel2"/>
      </w:pPr>
      <w:r>
        <w:t>&lt;Hybrid</w:t>
      </w:r>
      <w:r w:rsidR="005552B8">
        <w:t> Rule&gt;</w:t>
      </w:r>
      <w:r>
        <w:t xml:space="preserve">: </w:t>
      </w:r>
      <w:r w:rsidR="00F942A3">
        <w:t xml:space="preserve">A set of requirements </w:t>
      </w:r>
      <w:r w:rsidR="005C62F7">
        <w:t xml:space="preserve">adopted by the </w:t>
      </w:r>
      <w:r w:rsidR="007A6D01">
        <w:t>University</w:t>
      </w:r>
      <w:r w:rsidR="005C62F7">
        <w:t xml:space="preserve"> </w:t>
      </w:r>
      <w:r w:rsidR="00F942A3">
        <w:t xml:space="preserve">that follows </w:t>
      </w:r>
      <w:r w:rsidR="00F9126E">
        <w:t>the &lt;Revised</w:t>
      </w:r>
      <w:r w:rsidR="005552B8">
        <w:t> Rule&gt;</w:t>
      </w:r>
      <w:r w:rsidR="00F9126E">
        <w:t>, unless the &lt;Original</w:t>
      </w:r>
      <w:r w:rsidR="005552B8">
        <w:t> Rule&gt;</w:t>
      </w:r>
      <w:r w:rsidR="00F9126E">
        <w:t xml:space="preserve"> </w:t>
      </w:r>
      <w:r w:rsidR="00414793">
        <w:t>is</w:t>
      </w:r>
      <w:r w:rsidR="00F9126E">
        <w:t xml:space="preserve"> substantially less restrictive, in which case the &lt;Orig</w:t>
      </w:r>
      <w:r w:rsidR="006A1AE2">
        <w:t>inal</w:t>
      </w:r>
      <w:r w:rsidR="005552B8">
        <w:t> Rule&gt;</w:t>
      </w:r>
      <w:r w:rsidR="006A1AE2">
        <w:t xml:space="preserve"> </w:t>
      </w:r>
      <w:r w:rsidR="00414793">
        <w:t>is</w:t>
      </w:r>
      <w:r w:rsidR="006A1AE2">
        <w:t xml:space="preserve"> followed. See Table in references for a detailed description.</w:t>
      </w:r>
    </w:p>
    <w:p w14:paraId="17B0BA5D" w14:textId="6B21D787" w:rsidR="00197E46" w:rsidRDefault="00E60F7D" w:rsidP="00E60F7D">
      <w:pPr>
        <w:pStyle w:val="SOPLevel2"/>
        <w:numPr>
          <w:ilvl w:val="1"/>
          <w:numId w:val="2"/>
        </w:numPr>
      </w:pPr>
      <w:r>
        <w:t>&lt;</w:t>
      </w:r>
      <w:r w:rsidRPr="00F20894">
        <w:t xml:space="preserve">Identifiable </w:t>
      </w:r>
      <w:r>
        <w:t>I</w:t>
      </w:r>
      <w:r w:rsidRPr="00F20894">
        <w:t>nformation</w:t>
      </w:r>
      <w:r>
        <w:t>&gt;</w:t>
      </w:r>
      <w:r w:rsidRPr="00F20894">
        <w:t>:</w:t>
      </w:r>
    </w:p>
    <w:p w14:paraId="0E8C1E38" w14:textId="40087F0D" w:rsidR="00E60F7D" w:rsidRPr="00F20894" w:rsidRDefault="00B94AF8" w:rsidP="00F11725">
      <w:pPr>
        <w:pStyle w:val="SOPLevel3"/>
      </w:pPr>
      <w:r>
        <w:t xml:space="preserve">For </w:t>
      </w:r>
      <w:r w:rsidR="000501A0">
        <w:t>&lt;Research</w:t>
      </w:r>
      <w:r w:rsidR="000501A0" w:rsidRPr="00D518C5">
        <w:t xml:space="preserve"> </w:t>
      </w:r>
      <w:r w:rsidR="000501A0">
        <w:t xml:space="preserve">as Defined by HHS&gt; </w:t>
      </w:r>
      <w:r w:rsidR="00DB4423">
        <w:t>s</w:t>
      </w:r>
      <w:r w:rsidR="00DB4423" w:rsidRPr="00D518C5">
        <w:t>ubject to</w:t>
      </w:r>
      <w:r w:rsidR="00852B4D" w:rsidRPr="00852B4D">
        <w:t xml:space="preserve"> </w:t>
      </w:r>
      <w:r w:rsidR="00414793">
        <w:t xml:space="preserve">the </w:t>
      </w:r>
      <w:r w:rsidR="00D90516">
        <w:t>&lt;Original</w:t>
      </w:r>
      <w:r w:rsidR="005552B8">
        <w:t> Rule&gt;</w:t>
      </w:r>
      <w:r w:rsidR="000501A0">
        <w:t>:</w:t>
      </w:r>
      <w:r w:rsidR="00422927" w:rsidRPr="00F20894" w:rsidDel="00422927">
        <w:t xml:space="preserve"> </w:t>
      </w:r>
      <w:r w:rsidR="000501A0">
        <w:t>Information for which the</w:t>
      </w:r>
      <w:r w:rsidR="000501A0" w:rsidRPr="00F20894">
        <w:t xml:space="preserve"> </w:t>
      </w:r>
      <w:r w:rsidR="00E60F7D" w:rsidRPr="00F20894">
        <w:t xml:space="preserve">identity of the </w:t>
      </w:r>
      <w:r w:rsidR="00593979">
        <w:t>subject</w:t>
      </w:r>
      <w:r w:rsidR="008B33BF">
        <w:t xml:space="preserve"> </w:t>
      </w:r>
      <w:r w:rsidR="00E60F7D" w:rsidRPr="00F20894">
        <w:t xml:space="preserve">is or may readily be ascertained by the investigator or readily </w:t>
      </w:r>
      <w:r w:rsidR="00422927">
        <w:t xml:space="preserve">be </w:t>
      </w:r>
      <w:r w:rsidR="00E60F7D" w:rsidRPr="00F20894">
        <w:t>associated with the information</w:t>
      </w:r>
      <w:r w:rsidR="00E60F7D">
        <w:t>.</w:t>
      </w:r>
    </w:p>
    <w:p w14:paraId="649AED6B" w14:textId="750322F1" w:rsidR="00DB4423" w:rsidRPr="00F20894" w:rsidRDefault="00B94AF8" w:rsidP="00DB4423">
      <w:pPr>
        <w:pStyle w:val="SOPLevel3"/>
      </w:pPr>
      <w:r>
        <w:t xml:space="preserve">For </w:t>
      </w:r>
      <w:r w:rsidR="000501A0">
        <w:t>&lt;Research</w:t>
      </w:r>
      <w:r w:rsidR="000501A0" w:rsidRPr="00D518C5">
        <w:t xml:space="preserve"> </w:t>
      </w:r>
      <w:r w:rsidR="000501A0">
        <w:t xml:space="preserve">as Defined by HHS&gt; </w:t>
      </w:r>
      <w:r w:rsidR="00DB4423">
        <w:t>s</w:t>
      </w:r>
      <w:r w:rsidR="00DB4423" w:rsidRPr="00D518C5">
        <w:t xml:space="preserve">ubject to </w:t>
      </w:r>
      <w:r w:rsidR="007B5A35">
        <w:t xml:space="preserve">the </w:t>
      </w:r>
      <w:r w:rsidR="00D90516">
        <w:t>&lt;Revised</w:t>
      </w:r>
      <w:r w:rsidR="005552B8">
        <w:t> Rule&gt;</w:t>
      </w:r>
      <w:r w:rsidR="00852B4D" w:rsidRPr="00852B4D">
        <w:t xml:space="preserve"> </w:t>
      </w:r>
      <w:r w:rsidR="00852B4D">
        <w:t xml:space="preserve">or </w:t>
      </w:r>
      <w:r w:rsidR="007B5A35">
        <w:t xml:space="preserve">the </w:t>
      </w:r>
      <w:r w:rsidR="00852B4D">
        <w:t>&lt;Hybrid</w:t>
      </w:r>
      <w:r w:rsidR="005552B8">
        <w:t> Rule&gt;</w:t>
      </w:r>
      <w:r w:rsidR="00DB4423">
        <w:t>: I</w:t>
      </w:r>
      <w:r w:rsidR="00DB4423" w:rsidRPr="00D21674">
        <w:t xml:space="preserve">nformation </w:t>
      </w:r>
      <w:r w:rsidR="00DB4423">
        <w:t xml:space="preserve">or a biospecimen </w:t>
      </w:r>
      <w:r w:rsidR="00DB4423" w:rsidRPr="00D21674">
        <w:t>for which the</w:t>
      </w:r>
      <w:r w:rsidR="00DB4423" w:rsidRPr="00F20894" w:rsidDel="00422927">
        <w:t xml:space="preserve"> </w:t>
      </w:r>
      <w:r w:rsidR="00DB4423" w:rsidRPr="00F20894">
        <w:t xml:space="preserve">identity of the </w:t>
      </w:r>
      <w:r w:rsidR="00593979">
        <w:t>subject</w:t>
      </w:r>
      <w:r w:rsidR="00DB4423" w:rsidRPr="00F20894">
        <w:t xml:space="preserve"> is or may readily be ascertained by the investigator or readily </w:t>
      </w:r>
      <w:r w:rsidR="00DB4423">
        <w:t xml:space="preserve">be </w:t>
      </w:r>
      <w:r w:rsidR="00DB4423" w:rsidRPr="00F20894">
        <w:t>associated with the information</w:t>
      </w:r>
      <w:r w:rsidR="00DB4423">
        <w:t>.</w:t>
      </w:r>
    </w:p>
    <w:p w14:paraId="73108E3D" w14:textId="0E2AA90A" w:rsidR="00DB4423" w:rsidRDefault="00422927" w:rsidP="001B3958">
      <w:pPr>
        <w:pStyle w:val="SOPLevel2"/>
      </w:pPr>
      <w:r>
        <w:t>&lt;</w:t>
      </w:r>
      <w:r w:rsidRPr="00F20894">
        <w:t xml:space="preserve">Identifiable </w:t>
      </w:r>
      <w:r>
        <w:t>Private I</w:t>
      </w:r>
      <w:r w:rsidRPr="00F20894">
        <w:t>nformation</w:t>
      </w:r>
      <w:r>
        <w:t>&gt;</w:t>
      </w:r>
      <w:r w:rsidRPr="00F20894">
        <w:t>:</w:t>
      </w:r>
      <w:r w:rsidRPr="00F24467">
        <w:t xml:space="preserve"> </w:t>
      </w:r>
      <w:r w:rsidR="008B33BF">
        <w:t xml:space="preserve">&lt;Private Information&gt; for which the identity of the </w:t>
      </w:r>
      <w:r w:rsidR="00593979">
        <w:t xml:space="preserve">subject </w:t>
      </w:r>
      <w:r w:rsidR="008B33BF">
        <w:t>is or may readily be ascertained by the investigator or associated with the information.</w:t>
      </w:r>
    </w:p>
    <w:p w14:paraId="47E08683" w14:textId="7EE1899C" w:rsidR="008B33BF" w:rsidRDefault="008B33BF" w:rsidP="004C09EF">
      <w:pPr>
        <w:pStyle w:val="SOPLevel2"/>
      </w:pPr>
      <w:r>
        <w:t>&lt;Identifiable Biospecimen&gt;: A biospecimen for which the identity of the &lt;Human Subject as Defined by HHS&gt; is or may readily be ascertained by the investigator or associated with the biospecimen.</w:t>
      </w:r>
    </w:p>
    <w:p w14:paraId="3070089C" w14:textId="77777777" w:rsidR="00E60F7D" w:rsidRPr="00F20894" w:rsidRDefault="00E60F7D" w:rsidP="00E60F7D">
      <w:pPr>
        <w:pStyle w:val="SOPLevel2"/>
        <w:numPr>
          <w:ilvl w:val="1"/>
          <w:numId w:val="2"/>
        </w:numPr>
      </w:pPr>
      <w:r>
        <w:t>&lt;Immediate Family&gt;: Spouse</w:t>
      </w:r>
      <w:r w:rsidRPr="00F20894">
        <w:t xml:space="preserve"> and dependent children</w:t>
      </w:r>
      <w:r>
        <w:t>.</w:t>
      </w:r>
    </w:p>
    <w:p w14:paraId="55072056" w14:textId="0E383309" w:rsidR="00E60F7D" w:rsidRPr="00F20894" w:rsidRDefault="00E60F7D" w:rsidP="00E60F7D">
      <w:pPr>
        <w:pStyle w:val="SOPLevel2"/>
        <w:numPr>
          <w:ilvl w:val="1"/>
          <w:numId w:val="2"/>
        </w:numPr>
      </w:pPr>
      <w:r w:rsidRPr="00F20894">
        <w:t>&lt;Impartial Witness&gt;: A person, who is independent of the trial, who cannot be unfairly influenced by people involved with the trial, who attends the entire consent process and reads the consent document and any other written information supplied to the subject</w:t>
      </w:r>
      <w:r>
        <w:t xml:space="preserve"> as part of the consent process.</w:t>
      </w:r>
    </w:p>
    <w:p w14:paraId="0D707104" w14:textId="316641DB" w:rsidR="00E60F7D" w:rsidRPr="00F20894" w:rsidRDefault="00E60F7D" w:rsidP="00E60F7D">
      <w:pPr>
        <w:pStyle w:val="SOPLevel2"/>
        <w:numPr>
          <w:ilvl w:val="1"/>
          <w:numId w:val="2"/>
        </w:numPr>
      </w:pPr>
      <w:r>
        <w:t>&lt;</w:t>
      </w:r>
      <w:r w:rsidRPr="00F20894">
        <w:t>Interaction</w:t>
      </w:r>
      <w:r>
        <w:t>&gt;</w:t>
      </w:r>
      <w:r w:rsidRPr="00F20894">
        <w:t xml:space="preserve">: </w:t>
      </w:r>
      <w:r w:rsidR="00422927">
        <w:t>C</w:t>
      </w:r>
      <w:r w:rsidR="00422927" w:rsidRPr="00F20894">
        <w:t xml:space="preserve">ommunication </w:t>
      </w:r>
      <w:r w:rsidRPr="00F20894">
        <w:t xml:space="preserve">or interpersonal contact between investigator and </w:t>
      </w:r>
      <w:r w:rsidR="00593979">
        <w:t>subject</w:t>
      </w:r>
    </w:p>
    <w:p w14:paraId="2DAC5DE7" w14:textId="15945511" w:rsidR="00E60F7D" w:rsidRPr="00F20894" w:rsidRDefault="00E60F7D" w:rsidP="00E60F7D">
      <w:pPr>
        <w:pStyle w:val="SOPLevel2"/>
        <w:numPr>
          <w:ilvl w:val="1"/>
          <w:numId w:val="2"/>
        </w:numPr>
      </w:pPr>
      <w:r>
        <w:t>&lt;</w:t>
      </w:r>
      <w:r w:rsidRPr="00F20894">
        <w:t>Intervention</w:t>
      </w:r>
      <w:r>
        <w:t>&gt;</w:t>
      </w:r>
      <w:r w:rsidRPr="00F20894">
        <w:t xml:space="preserve">: Physical procedures by which </w:t>
      </w:r>
      <w:r w:rsidR="00422927">
        <w:t>information or biospecimens</w:t>
      </w:r>
      <w:r w:rsidR="00422927" w:rsidRPr="00F20894" w:rsidDel="00422927">
        <w:t xml:space="preserve"> </w:t>
      </w:r>
      <w:r w:rsidRPr="00F20894">
        <w:t xml:space="preserve">are gathered and manipulations of the </w:t>
      </w:r>
      <w:r w:rsidR="00593979">
        <w:t>subject</w:t>
      </w:r>
      <w:r w:rsidRPr="00F20894">
        <w:t xml:space="preserve"> or the </w:t>
      </w:r>
      <w:r w:rsidR="00593979">
        <w:t>subject’s</w:t>
      </w:r>
      <w:r w:rsidRPr="00F20894">
        <w:t xml:space="preserve"> environment that are performed for research purposes</w:t>
      </w:r>
      <w:r>
        <w:t>.</w:t>
      </w:r>
    </w:p>
    <w:p w14:paraId="236E9D6D" w14:textId="3AA7A87E" w:rsidR="00422927" w:rsidRDefault="00E60F7D" w:rsidP="00FD110F">
      <w:pPr>
        <w:pStyle w:val="SOPLevel2"/>
      </w:pPr>
      <w:r w:rsidRPr="00F20894">
        <w:t>&lt;Legally Authorized Representative&gt;: An individual, judicial, or other body authorized under applicable law to consent on behalf of a prospective subject to the subject’s participation in the procedure(s) involved in the research</w:t>
      </w:r>
      <w:r>
        <w:t>.</w:t>
      </w:r>
    </w:p>
    <w:p w14:paraId="7A02D297" w14:textId="3734D763" w:rsidR="00422927" w:rsidRPr="00F20894" w:rsidRDefault="00B94AF8" w:rsidP="00422927">
      <w:pPr>
        <w:pStyle w:val="SOPLevel3"/>
      </w:pPr>
      <w:r>
        <w:t xml:space="preserve">For </w:t>
      </w:r>
      <w:r w:rsidR="000501A0">
        <w:t>&lt;Research</w:t>
      </w:r>
      <w:r w:rsidR="000501A0" w:rsidRPr="00D518C5">
        <w:t xml:space="preserve"> </w:t>
      </w:r>
      <w:r w:rsidR="000501A0">
        <w:t xml:space="preserve">as Defined by HHS&gt; </w:t>
      </w:r>
      <w:r w:rsidR="00F942A3">
        <w:t>s</w:t>
      </w:r>
      <w:r w:rsidR="00F942A3" w:rsidRPr="00D518C5">
        <w:t xml:space="preserve">ubject to </w:t>
      </w:r>
      <w:r w:rsidR="00414793">
        <w:t xml:space="preserve">the </w:t>
      </w:r>
      <w:r w:rsidR="00F942A3">
        <w:t>&lt;Revised</w:t>
      </w:r>
      <w:r w:rsidR="005552B8">
        <w:t> Rule&gt;</w:t>
      </w:r>
      <w:r w:rsidR="00F942A3">
        <w:t xml:space="preserve"> or </w:t>
      </w:r>
      <w:r w:rsidR="00414793">
        <w:t xml:space="preserve">the </w:t>
      </w:r>
      <w:r w:rsidR="00F942A3">
        <w:t>&lt;Hybrid</w:t>
      </w:r>
      <w:r w:rsidR="005552B8">
        <w:t> Rule&gt;</w:t>
      </w:r>
      <w:r w:rsidR="00F942A3">
        <w:t xml:space="preserve">, but </w:t>
      </w:r>
      <w:r w:rsidR="00F11725">
        <w:t>NOT</w:t>
      </w:r>
      <w:r w:rsidR="00422927">
        <w:t xml:space="preserve"> subject to FDA regulations</w:t>
      </w:r>
      <w:r w:rsidR="00CD79B5">
        <w:t>:</w:t>
      </w:r>
      <w:r w:rsidR="000501A0">
        <w:t xml:space="preserve"> </w:t>
      </w:r>
      <w:r w:rsidR="00041298">
        <w:t>W</w:t>
      </w:r>
      <w:r w:rsidR="00422927">
        <w:t xml:space="preserve">here there is no applicable law addressing this issue, legally authorized representative </w:t>
      </w:r>
      <w:r w:rsidR="00CD79B5">
        <w:t xml:space="preserve">also </w:t>
      </w:r>
      <w:r w:rsidR="00422927">
        <w:t xml:space="preserve">means an individual recognized by institutional policy as acceptable for providing consent in the non-research context on behalf of the prospective </w:t>
      </w:r>
      <w:r w:rsidR="000501A0">
        <w:t xml:space="preserve">&lt;Human Subject as Defined </w:t>
      </w:r>
      <w:r w:rsidR="000501A0">
        <w:lastRenderedPageBreak/>
        <w:t>by HHS&gt;</w:t>
      </w:r>
      <w:r w:rsidR="00422927">
        <w:t xml:space="preserve"> to the </w:t>
      </w:r>
      <w:r w:rsidR="008B33BF">
        <w:t>&lt;Human Subject</w:t>
      </w:r>
      <w:r w:rsidR="00E64DD5">
        <w:t>’s</w:t>
      </w:r>
      <w:r w:rsidR="008B33BF">
        <w:t>&gt;</w:t>
      </w:r>
      <w:r w:rsidR="00E64DD5">
        <w:t xml:space="preserve"> </w:t>
      </w:r>
      <w:r w:rsidR="00422927">
        <w:t>participation in the procedure(s) involved in the research.</w:t>
      </w:r>
    </w:p>
    <w:p w14:paraId="03B1CAF3" w14:textId="77777777" w:rsidR="00E60F7D" w:rsidRPr="00212015" w:rsidRDefault="00E60F7D" w:rsidP="00E60F7D">
      <w:pPr>
        <w:pStyle w:val="SOPLevel2"/>
        <w:numPr>
          <w:ilvl w:val="1"/>
          <w:numId w:val="2"/>
        </w:numPr>
      </w:pPr>
      <w:r w:rsidRPr="00212015">
        <w:t>&lt;Meeting Chair&gt;: The IRB member running a convened IRB meeting. The &lt;Meeting Chair&gt; may be an IRB chair, an IRB vice-chair, or an IRB member temporarily designated by a &lt;Meeting Chair&gt;.</w:t>
      </w:r>
    </w:p>
    <w:p w14:paraId="56C387FE" w14:textId="5DCEDD42" w:rsidR="00E60F7D" w:rsidRPr="00F20894" w:rsidRDefault="00E60F7D" w:rsidP="00E60F7D">
      <w:pPr>
        <w:pStyle w:val="SOPLevel2"/>
        <w:numPr>
          <w:ilvl w:val="1"/>
          <w:numId w:val="2"/>
        </w:numPr>
      </w:pPr>
      <w:r w:rsidRPr="00F20894">
        <w:t>&lt;Minimal Risk&gt;: The probability and magnitude of harm or discomfort anticipated in the research that are not greater in and of themselves than those ordinarily encountered in daily life or during the performance of routine physical or psychological examinations or tests</w:t>
      </w:r>
    </w:p>
    <w:p w14:paraId="26451290" w14:textId="613E65E2" w:rsidR="00E60F7D" w:rsidRPr="00F20894" w:rsidRDefault="00E60F7D" w:rsidP="00E60F7D">
      <w:pPr>
        <w:pStyle w:val="SOPLevel3"/>
        <w:numPr>
          <w:ilvl w:val="2"/>
          <w:numId w:val="2"/>
        </w:numPr>
      </w:pPr>
      <w:r w:rsidRPr="00F20894">
        <w:t>The IRB interprets the phrase “Ordinarily encountered in daily life or during the performance of routine physical or physiological examination or tests” to refer to normal healthy individuals in general and exclude the risks that certain subcategories of individuals face in their everyday life. For example, the IRB does not evaluate the risks imposed in research focused on a special population against the inherent risks encountered in their work environment (e.g., emergency responder, pilot, soldier in a combat zone) or having a medical condition (e.g., frequent medical tests or constant pain).</w:t>
      </w:r>
    </w:p>
    <w:p w14:paraId="42E5D862" w14:textId="7EBBF714" w:rsidR="00E60F7D" w:rsidRDefault="00004DC8" w:rsidP="00E60F7D">
      <w:pPr>
        <w:pStyle w:val="SOPLevel3"/>
        <w:numPr>
          <w:ilvl w:val="2"/>
          <w:numId w:val="2"/>
        </w:numPr>
      </w:pPr>
      <w:r>
        <w:t xml:space="preserve">For </w:t>
      </w:r>
      <w:r w:rsidR="000501A0">
        <w:t>&lt;Human Research as Defined by HHS&gt;</w:t>
      </w:r>
      <w:r w:rsidR="00E60F7D" w:rsidRPr="00F20894">
        <w:t xml:space="preserve"> that involves </w:t>
      </w:r>
      <w:r w:rsidR="00E60F7D">
        <w:t>&lt;P</w:t>
      </w:r>
      <w:r w:rsidR="00E60F7D" w:rsidRPr="00F20894">
        <w:t>risoners</w:t>
      </w:r>
      <w:r w:rsidR="00E60F7D">
        <w:t>&gt;</w:t>
      </w:r>
      <w:r w:rsidR="00E60F7D" w:rsidRPr="00F20894">
        <w:t xml:space="preserve"> as </w:t>
      </w:r>
      <w:r w:rsidR="00E64DD5">
        <w:t>&lt;Human Subjects</w:t>
      </w:r>
      <w:r w:rsidR="009D0390">
        <w:t xml:space="preserve"> as Defined by HHS</w:t>
      </w:r>
      <w:r w:rsidR="00E64DD5">
        <w:t>&gt;</w:t>
      </w:r>
      <w:r w:rsidR="00E60F7D">
        <w:t>: The</w:t>
      </w:r>
      <w:r w:rsidR="00E60F7D" w:rsidRPr="00F20894">
        <w:t xml:space="preserve"> probability and magnitude of physical or psychological harm that is normally encountered in the daily lives, or in the routine medical, dental, or psychological examination of healthy persons.</w:t>
      </w:r>
    </w:p>
    <w:p w14:paraId="06AAF8AE" w14:textId="33832129" w:rsidR="00E60F7D" w:rsidRDefault="00E60F7D" w:rsidP="00E60F7D">
      <w:pPr>
        <w:pStyle w:val="SOPLevel3"/>
        <w:numPr>
          <w:ilvl w:val="2"/>
          <w:numId w:val="2"/>
        </w:numPr>
      </w:pPr>
      <w:r>
        <w:t>For research subject to Canadian oversight: The probability and magnitude of possible harms implied by participation in the research that is no greater than those encountered by subjects in those aspects of their everyday life that relate to the research.</w:t>
      </w:r>
    </w:p>
    <w:p w14:paraId="489BE435" w14:textId="26F64C69" w:rsidR="00257430" w:rsidRPr="00F20894" w:rsidRDefault="00257430" w:rsidP="00E60F7D">
      <w:pPr>
        <w:pStyle w:val="SOPLevel3"/>
        <w:numPr>
          <w:ilvl w:val="2"/>
          <w:numId w:val="2"/>
        </w:numPr>
      </w:pPr>
      <w:r w:rsidRPr="00257430">
        <w:t>For DOD research, minimal risk does not include the inherent occupational risks that certain subjects face in their everyday life, such as those</w:t>
      </w:r>
      <w:r>
        <w:t xml:space="preserve"> e</w:t>
      </w:r>
      <w:r w:rsidRPr="00257430">
        <w:t>ncountered by Service members, law enforcement, or first responders while on duty</w:t>
      </w:r>
      <w:r>
        <w:t>, r</w:t>
      </w:r>
      <w:r w:rsidRPr="00257430">
        <w:t>esulting from or associated with high-risk behaviors or pursuits</w:t>
      </w:r>
      <w:r>
        <w:t>, e</w:t>
      </w:r>
      <w:r w:rsidRPr="00257430">
        <w:t>xperienced by individuals whose medical conditions involve frequent tests or constant pain.</w:t>
      </w:r>
    </w:p>
    <w:p w14:paraId="6812CCDA" w14:textId="77777777" w:rsidR="00E60F7D" w:rsidRPr="00F20894" w:rsidRDefault="00E60F7D" w:rsidP="00E60F7D">
      <w:pPr>
        <w:pStyle w:val="SOPLevel2"/>
        <w:numPr>
          <w:ilvl w:val="1"/>
          <w:numId w:val="2"/>
        </w:numPr>
      </w:pPr>
      <w:r w:rsidRPr="00F20894">
        <w:t>&lt;Neonate of Uncertain Viability&gt;: A neonate after delivery that, although living, is uncertain to survive (given the benefit of available medical therapy) to the point of independently maintaining heartbeat and respiration</w:t>
      </w:r>
      <w:r>
        <w:t>.</w:t>
      </w:r>
    </w:p>
    <w:p w14:paraId="3449B664" w14:textId="16BEBA43" w:rsidR="00E60F7D" w:rsidRPr="00F20894" w:rsidRDefault="00E60F7D" w:rsidP="00E60F7D">
      <w:pPr>
        <w:pStyle w:val="SOPLevel2"/>
        <w:numPr>
          <w:ilvl w:val="1"/>
          <w:numId w:val="2"/>
        </w:numPr>
      </w:pPr>
      <w:r w:rsidRPr="00F20894">
        <w:t>&lt;Non-Committee Review&gt;: All review processes that do not require a convened IRB including non-human research determinations, non-engagement determinations, exemption determinations, and expedited review.</w:t>
      </w:r>
    </w:p>
    <w:p w14:paraId="0AE6E316" w14:textId="77777777" w:rsidR="00E60F7D" w:rsidRDefault="00E60F7D" w:rsidP="00E60F7D">
      <w:pPr>
        <w:pStyle w:val="SOPLevel2"/>
        <w:numPr>
          <w:ilvl w:val="1"/>
          <w:numId w:val="2"/>
        </w:numPr>
      </w:pPr>
      <w:r w:rsidRPr="00F20894">
        <w:t>&lt;Non-significant Risk Device&gt;: An investigational device that is not a &lt;Significant Risk Device</w:t>
      </w:r>
      <w:r>
        <w:t>&gt;.</w:t>
      </w:r>
    </w:p>
    <w:p w14:paraId="56A284C7" w14:textId="77777777" w:rsidR="00E60F7D" w:rsidRPr="00F20894" w:rsidRDefault="00E60F7D" w:rsidP="00E60F7D">
      <w:pPr>
        <w:pStyle w:val="SOPLevel2"/>
        <w:numPr>
          <w:ilvl w:val="1"/>
          <w:numId w:val="2"/>
        </w:numPr>
      </w:pPr>
      <w:r w:rsidRPr="00F20894">
        <w:t>&lt;Noncompliance&gt;: Failure to follow the regulations or the requirements or determinations of the IRB</w:t>
      </w:r>
      <w:r>
        <w:t>.</w:t>
      </w:r>
    </w:p>
    <w:p w14:paraId="33CCB291" w14:textId="77777777" w:rsidR="00E60F7D" w:rsidRPr="00F20894" w:rsidRDefault="00E60F7D" w:rsidP="00E60F7D">
      <w:pPr>
        <w:pStyle w:val="SOPLevel2"/>
        <w:numPr>
          <w:ilvl w:val="1"/>
          <w:numId w:val="2"/>
        </w:numPr>
      </w:pPr>
      <w:r w:rsidRPr="00F20894">
        <w:t>&lt;Nonviable Neonate&gt;: A neonate after delivery that, although living, is unable to survive (given the benefit of available medical therapy) to the point of independently maintaining heartbeat and respiration</w:t>
      </w:r>
      <w:r>
        <w:t>.</w:t>
      </w:r>
    </w:p>
    <w:p w14:paraId="3AD4EC57" w14:textId="52A30712" w:rsidR="00F942A3" w:rsidRDefault="00F942A3" w:rsidP="00F942A3">
      <w:pPr>
        <w:pStyle w:val="SOPLevel2"/>
      </w:pPr>
      <w:r>
        <w:t>&lt;Original</w:t>
      </w:r>
      <w:r w:rsidR="005552B8">
        <w:t> Rule&gt;</w:t>
      </w:r>
      <w:r>
        <w:t xml:space="preserve"> The Federal Policy for the Protection of Human Subjects requirements contained in 45 CFR </w:t>
      </w:r>
      <w:r w:rsidRPr="00BD3193">
        <w:t>§</w:t>
      </w:r>
      <w:r>
        <w:t>46 Subparts A as published in the 2016 edition of the Code of Federal Regulations.</w:t>
      </w:r>
    </w:p>
    <w:p w14:paraId="4EEB2A35" w14:textId="77777777" w:rsidR="00E60F7D" w:rsidRPr="00F20894" w:rsidRDefault="00E60F7D" w:rsidP="00E60F7D">
      <w:pPr>
        <w:pStyle w:val="SOPLevel2"/>
        <w:numPr>
          <w:ilvl w:val="1"/>
          <w:numId w:val="2"/>
        </w:numPr>
      </w:pPr>
      <w:r w:rsidRPr="00F20894">
        <w:t xml:space="preserve">&lt;Pregnant Woman&gt;: A woman during the </w:t>
      </w:r>
      <w:proofErr w:type="gramStart"/>
      <w:r w:rsidRPr="00F20894">
        <w:t>period of time</w:t>
      </w:r>
      <w:proofErr w:type="gramEnd"/>
      <w:r w:rsidRPr="00F20894">
        <w:t xml:space="preserve"> from implantation until delivery</w:t>
      </w:r>
      <w:r>
        <w:t>.</w:t>
      </w:r>
    </w:p>
    <w:p w14:paraId="2EBF22AC" w14:textId="3ABE3A22" w:rsidR="00E60F7D" w:rsidRPr="00F20894" w:rsidRDefault="00E60F7D" w:rsidP="00E60F7D">
      <w:pPr>
        <w:pStyle w:val="SOPLevel2"/>
        <w:numPr>
          <w:ilvl w:val="1"/>
          <w:numId w:val="2"/>
        </w:numPr>
      </w:pPr>
      <w:r w:rsidRPr="00F20894">
        <w:t>&lt;Prisoner&gt; Any individual involuntarily confined or detained in a penal institution</w:t>
      </w:r>
      <w:r w:rsidR="007D0611">
        <w:t>.</w:t>
      </w:r>
      <w:r w:rsidRPr="00F20894">
        <w:t xml:space="preserve"> The term is intended to encompass individuals sentenced to such an institution under a criminal or civil statute, individuals detained in other facilities by virtue of statutes or commitment procedures that provide alternatives to criminal prosecution or incarceration in a penal institution, and individuals detained pending arraignment, trial, or sentencing</w:t>
      </w:r>
      <w:r>
        <w:t>.</w:t>
      </w:r>
    </w:p>
    <w:p w14:paraId="75A1FE24" w14:textId="77777777" w:rsidR="00E60F7D" w:rsidRPr="00F20894" w:rsidRDefault="00E60F7D" w:rsidP="00E60F7D">
      <w:pPr>
        <w:pStyle w:val="SOPLevel2"/>
        <w:numPr>
          <w:ilvl w:val="1"/>
          <w:numId w:val="2"/>
        </w:numPr>
      </w:pPr>
      <w:r>
        <w:t>&lt;</w:t>
      </w:r>
      <w:r w:rsidRPr="00F20894">
        <w:t xml:space="preserve">Private </w:t>
      </w:r>
      <w:r>
        <w:t>I</w:t>
      </w:r>
      <w:r w:rsidRPr="00F20894">
        <w:t>nformation</w:t>
      </w:r>
      <w:r>
        <w:t>&gt;</w:t>
      </w:r>
      <w:r w:rsidRPr="00F20894">
        <w:t xml:space="preserve">: Information about behavior that occurs in a context in which an individual can reasonably expect that no observation or recording is taking place, and </w:t>
      </w:r>
      <w:r w:rsidRPr="00F20894">
        <w:lastRenderedPageBreak/>
        <w:t>information which has been provided for specific purposes by an individual and which the individual can reasonably expect will not be made public</w:t>
      </w:r>
      <w:r>
        <w:t>.</w:t>
      </w:r>
    </w:p>
    <w:p w14:paraId="629FAD3A" w14:textId="77777777" w:rsidR="00E60F7D" w:rsidRPr="00F20894" w:rsidRDefault="00E60F7D" w:rsidP="00E60F7D">
      <w:pPr>
        <w:pStyle w:val="SOPLevel2"/>
        <w:numPr>
          <w:ilvl w:val="1"/>
          <w:numId w:val="2"/>
        </w:numPr>
      </w:pPr>
      <w:r>
        <w:t>&lt;Regulatory Review&gt;: Review of administrative and regulatory issues unrelated to the regulatory criteria for approval that under the regulations must be determined by a convened IRB or reviewer using the expedited procedure.</w:t>
      </w:r>
    </w:p>
    <w:p w14:paraId="22C5778B" w14:textId="77777777" w:rsidR="00E60F7D" w:rsidRDefault="00E60F7D" w:rsidP="00E60F7D">
      <w:pPr>
        <w:pStyle w:val="SOPLevel2"/>
        <w:numPr>
          <w:ilvl w:val="1"/>
          <w:numId w:val="2"/>
        </w:numPr>
      </w:pPr>
      <w:r>
        <w:t>&lt;Regulatory Reviewer&gt;: Individual who conducts &lt;Regulatory Review&gt;.</w:t>
      </w:r>
    </w:p>
    <w:p w14:paraId="0C87D170" w14:textId="79D11945" w:rsidR="00E60F7D" w:rsidRDefault="00E60F7D" w:rsidP="00E60F7D">
      <w:pPr>
        <w:pStyle w:val="SOPLevel2"/>
        <w:numPr>
          <w:ilvl w:val="1"/>
          <w:numId w:val="2"/>
        </w:numPr>
      </w:pPr>
      <w:r w:rsidRPr="00F20894">
        <w:t>&lt;Related to the Research&gt;: A fin</w:t>
      </w:r>
      <w:r>
        <w:t xml:space="preserve">ancial interest is </w:t>
      </w:r>
      <w:r w:rsidRPr="00F20894">
        <w:t>&lt;Related to the Research&gt;</w:t>
      </w:r>
      <w:r>
        <w:t xml:space="preserve"> when the financial interest is in the sponsor or</w:t>
      </w:r>
      <w:r w:rsidRPr="00F20894">
        <w:t xml:space="preserve"> the product or service being evaluated</w:t>
      </w:r>
      <w:r>
        <w:t>.</w:t>
      </w:r>
    </w:p>
    <w:p w14:paraId="65C35B42" w14:textId="0BD39A85" w:rsidR="00683DD9" w:rsidRDefault="00683DD9" w:rsidP="00683DD9">
      <w:pPr>
        <w:pStyle w:val="SOPLevel2"/>
      </w:pPr>
      <w:r>
        <w:t xml:space="preserve">&lt;Reliance Agreement&gt;: </w:t>
      </w:r>
      <w:r w:rsidRPr="00683DD9">
        <w:t>Documentation describing the reliance of an institution on an IRB for the oversight of research and the responsibilities that each entity will undertake to ensure compliance with regulatory requirements, which can be embodied in a written agreement between the institution, an institution-wide policy directive, or a research protocol.</w:t>
      </w:r>
    </w:p>
    <w:p w14:paraId="517A632B" w14:textId="09751884" w:rsidR="00E60F7D" w:rsidRPr="00F20894" w:rsidRDefault="00E60F7D" w:rsidP="00E60F7D">
      <w:pPr>
        <w:pStyle w:val="SOPLevel2"/>
        <w:numPr>
          <w:ilvl w:val="1"/>
          <w:numId w:val="2"/>
        </w:numPr>
      </w:pPr>
      <w:r w:rsidRPr="00F20894">
        <w:t>&lt;Research as Defined by FDA&gt;: Any experiment that involves a test article and one or more &lt;Human Subject</w:t>
      </w:r>
      <w:r>
        <w:t>s</w:t>
      </w:r>
      <w:r w:rsidRPr="00F20894">
        <w:t xml:space="preserve"> as Defined by FDA&gt;, and that either must meet the requirements for prior submission to the Food and Drug Administration under section 505(i) or 520(g) of the Act, or need not meet the requirements for prior submission to the Food and Drug Administration under these sections of the act, but the results of which are intended to be later submitted to, or held for inspection by, the Food and Drug Administration as part of an application for a research or marketing permit</w:t>
      </w:r>
      <w:r>
        <w:t>, w</w:t>
      </w:r>
      <w:r w:rsidRPr="00F20894">
        <w:t>here:</w:t>
      </w:r>
    </w:p>
    <w:p w14:paraId="5F3B4C46" w14:textId="77777777" w:rsidR="00E60F7D" w:rsidRPr="00F20894" w:rsidRDefault="00E60F7D" w:rsidP="00E60F7D">
      <w:pPr>
        <w:pStyle w:val="SOPLevel3"/>
        <w:numPr>
          <w:ilvl w:val="2"/>
          <w:numId w:val="2"/>
        </w:numPr>
      </w:pPr>
      <w:r w:rsidRPr="00F20894">
        <w:t>Act: The Federal Food, Drug, and Cosmetic Act, as amended (§§201-902, 52 Stat 1040 et. seq., as amended (21 USC 321-392))</w:t>
      </w:r>
    </w:p>
    <w:p w14:paraId="00EA099A" w14:textId="77777777" w:rsidR="00E60F7D" w:rsidRPr="00F20894" w:rsidRDefault="00E60F7D" w:rsidP="00E60F7D">
      <w:pPr>
        <w:pStyle w:val="SOPLevel3"/>
        <w:numPr>
          <w:ilvl w:val="2"/>
          <w:numId w:val="2"/>
        </w:numPr>
      </w:pPr>
      <w:r w:rsidRPr="00F20894">
        <w:t>Test article: Any drug for human use, biological product for human use, medical device for human use, human food additive, color additive, electronic product, or any other article subject to regulation under the act or under sections 351 or 354-360F of the Public Health Service Act</w:t>
      </w:r>
    </w:p>
    <w:p w14:paraId="2D7F0933" w14:textId="2F12B741" w:rsidR="00E60F7D" w:rsidRPr="00F20894" w:rsidRDefault="00E60F7D" w:rsidP="00E60F7D">
      <w:pPr>
        <w:pStyle w:val="SOPLevel2"/>
        <w:numPr>
          <w:ilvl w:val="1"/>
          <w:numId w:val="2"/>
        </w:numPr>
      </w:pPr>
      <w:r w:rsidRPr="00F20894">
        <w:t>&lt;Research as Defined by HHS&gt;: A systematic investigation designed to develop or contribute to generalizable knowledge</w:t>
      </w:r>
      <w:r>
        <w:t>.</w:t>
      </w:r>
      <w:r w:rsidR="00422927">
        <w:rPr>
          <w:rStyle w:val="FootnoteReference"/>
        </w:rPr>
        <w:footnoteReference w:id="1"/>
      </w:r>
    </w:p>
    <w:p w14:paraId="35814BE0" w14:textId="77777777" w:rsidR="00E60F7D" w:rsidRDefault="00E60F7D" w:rsidP="00E60F7D">
      <w:pPr>
        <w:pStyle w:val="SOPLevel2"/>
        <w:numPr>
          <w:ilvl w:val="1"/>
          <w:numId w:val="2"/>
        </w:numPr>
      </w:pPr>
      <w:r>
        <w:t>&lt;Restricted&gt;: A status for investigators indicating that new submissions will not be accepted for review.</w:t>
      </w:r>
    </w:p>
    <w:p w14:paraId="3C75E616" w14:textId="69A749CE" w:rsidR="00F942A3" w:rsidRDefault="00F942A3" w:rsidP="00F942A3">
      <w:pPr>
        <w:pStyle w:val="SOPLevel2"/>
      </w:pPr>
      <w:r>
        <w:t>&lt;Revised</w:t>
      </w:r>
      <w:r w:rsidR="005552B8">
        <w:t> Rule&gt;</w:t>
      </w:r>
      <w:r>
        <w:t xml:space="preserve">: The Federal Policy for the Protection of Human Subjects requirements contained in 45 CFR </w:t>
      </w:r>
      <w:r w:rsidRPr="00BD3193">
        <w:t>§</w:t>
      </w:r>
      <w:r>
        <w:t>46 Subparts A as revised January 18, 2017.</w:t>
      </w:r>
    </w:p>
    <w:p w14:paraId="3C489D2D" w14:textId="68AC316A" w:rsidR="00E60F7D" w:rsidRDefault="00E60F7D" w:rsidP="00E60F7D">
      <w:pPr>
        <w:pStyle w:val="SOPLevel2"/>
        <w:numPr>
          <w:ilvl w:val="1"/>
          <w:numId w:val="2"/>
        </w:numPr>
      </w:pPr>
      <w:r w:rsidRPr="00F20894">
        <w:t>&lt;Serious Noncompliance&gt;: &lt;Noncompliance&gt; that adversely a</w:t>
      </w:r>
      <w:r>
        <w:t>ffects</w:t>
      </w:r>
      <w:r w:rsidRPr="00F20894">
        <w:t xml:space="preserve"> the rights and welfare of subjects</w:t>
      </w:r>
      <w:r>
        <w:t>.</w:t>
      </w:r>
    </w:p>
    <w:p w14:paraId="48C2A828" w14:textId="5CE1D4FD" w:rsidR="00E60F7D" w:rsidRPr="00F20894" w:rsidRDefault="00E60F7D" w:rsidP="00E60F7D">
      <w:pPr>
        <w:pStyle w:val="SOPLevel3"/>
        <w:numPr>
          <w:ilvl w:val="2"/>
          <w:numId w:val="2"/>
        </w:numPr>
      </w:pPr>
      <w:r>
        <w:lastRenderedPageBreak/>
        <w:t xml:space="preserve">For </w:t>
      </w:r>
      <w:r w:rsidR="00D75D8A">
        <w:t>research</w:t>
      </w:r>
      <w:r w:rsidR="000501A0">
        <w:t xml:space="preserve"> conducted or </w:t>
      </w:r>
      <w:r w:rsidR="00D75D8A">
        <w:t>supported</w:t>
      </w:r>
      <w:r w:rsidR="000501A0">
        <w:t xml:space="preserve"> by DOD</w:t>
      </w:r>
      <w:r>
        <w:t xml:space="preserve">, </w:t>
      </w:r>
      <w:r w:rsidRPr="00F20894">
        <w:t>&lt;Serious Noncompliance&gt;</w:t>
      </w:r>
      <w:r>
        <w:t xml:space="preserve"> is f</w:t>
      </w:r>
      <w:r w:rsidRPr="0083054A">
        <w:t>ailure of a person, group, or institution to act in accordance with this Instruction and its references such that the failure could adversely affect the rights, safety, or welfare of a human subject; place a human subject at increased risk of harm; cause harm to a human subject; affect a human subject’s willingness to participate in research; or damage or compromise the scientific integrity of research data.</w:t>
      </w:r>
    </w:p>
    <w:p w14:paraId="6EB9D414" w14:textId="77777777" w:rsidR="00E60F7D" w:rsidRPr="00F20894" w:rsidRDefault="00E60F7D" w:rsidP="00E60F7D">
      <w:pPr>
        <w:pStyle w:val="SOPLevel2"/>
        <w:numPr>
          <w:ilvl w:val="1"/>
          <w:numId w:val="2"/>
        </w:numPr>
      </w:pPr>
      <w:r w:rsidRPr="00F20894">
        <w:t>&lt;Significant Risk Device&gt;: An investigational device that:</w:t>
      </w:r>
    </w:p>
    <w:p w14:paraId="6A0A0364" w14:textId="7F3CF6F1" w:rsidR="00E60F7D" w:rsidRPr="00F20894" w:rsidRDefault="00E60F7D" w:rsidP="008B33BF">
      <w:pPr>
        <w:pStyle w:val="SOPLevel3"/>
      </w:pPr>
      <w:r w:rsidRPr="00F20894">
        <w:t>Is intended as an implant and presents a potential for serious risk to the health, safety, or welfare of a subject;</w:t>
      </w:r>
    </w:p>
    <w:p w14:paraId="1D310466" w14:textId="0EB8E617" w:rsidR="00E60F7D" w:rsidRPr="00F20894" w:rsidRDefault="00E60F7D" w:rsidP="00E60F7D">
      <w:pPr>
        <w:pStyle w:val="SOPLevel3"/>
        <w:numPr>
          <w:ilvl w:val="2"/>
          <w:numId w:val="2"/>
        </w:numPr>
      </w:pPr>
      <w:r w:rsidRPr="00F20894">
        <w:t>Is purported or represented to be for a use in supporting or sustaining human life and presents a potential for serious risk to the health, safety, or welfare of a subject;</w:t>
      </w:r>
    </w:p>
    <w:p w14:paraId="7C827433" w14:textId="67C0EB33" w:rsidR="00E60F7D" w:rsidRPr="00F20894" w:rsidRDefault="00E60F7D" w:rsidP="00E60F7D">
      <w:pPr>
        <w:pStyle w:val="SOPLevel3"/>
        <w:numPr>
          <w:ilvl w:val="2"/>
          <w:numId w:val="2"/>
        </w:numPr>
      </w:pPr>
      <w:r w:rsidRPr="00F20894">
        <w:t>Is for a use of substantial importance in diagnosing, curing, mitigating, or treating disease, or otherwise preventing impairment of human health and presents a potential for serious risk to the health, safety, or welfare of a subject; or</w:t>
      </w:r>
    </w:p>
    <w:p w14:paraId="33B0BCBE" w14:textId="18682143" w:rsidR="00E60F7D" w:rsidRPr="00F20894" w:rsidRDefault="00E60F7D" w:rsidP="00E60F7D">
      <w:pPr>
        <w:pStyle w:val="SOPLevel3"/>
        <w:numPr>
          <w:ilvl w:val="2"/>
          <w:numId w:val="2"/>
        </w:numPr>
      </w:pPr>
      <w:r w:rsidRPr="00F20894">
        <w:t>Otherwise presents a potential for serious risk to the health, safety, or welfare of a subject</w:t>
      </w:r>
      <w:r>
        <w:t>.</w:t>
      </w:r>
    </w:p>
    <w:p w14:paraId="50072515" w14:textId="77777777" w:rsidR="005A0BD4" w:rsidRDefault="005A0BD4" w:rsidP="005A0BD4">
      <w:pPr>
        <w:pStyle w:val="SOPLevel2"/>
        <w:numPr>
          <w:ilvl w:val="1"/>
          <w:numId w:val="2"/>
        </w:numPr>
      </w:pPr>
      <w:r>
        <w:t xml:space="preserve">&lt;Single Patient Expanded Access&gt;: </w:t>
      </w:r>
      <w:r w:rsidRPr="0011002A">
        <w:t>Treatment with an investigational drug under an IND where the FDA granted an IND pursuant to 21 CFR §312.310</w:t>
      </w:r>
    </w:p>
    <w:p w14:paraId="1E459460" w14:textId="77777777" w:rsidR="00E60F7D" w:rsidRDefault="00E60F7D" w:rsidP="00E60F7D">
      <w:pPr>
        <w:pStyle w:val="SOPLevel2"/>
        <w:numPr>
          <w:ilvl w:val="1"/>
          <w:numId w:val="2"/>
        </w:numPr>
      </w:pPr>
      <w:r w:rsidRPr="00F20894">
        <w:t>&lt;Suspension of IRB Approval&gt;: Temporary or permanent withdrawal of IRB approval for some or all research procedures short of &lt;Termination of IRB Approval</w:t>
      </w:r>
      <w:r>
        <w:t>&gt;.</w:t>
      </w:r>
    </w:p>
    <w:p w14:paraId="6E59E80F" w14:textId="77777777" w:rsidR="00E60F7D" w:rsidRPr="00F20894" w:rsidRDefault="00E60F7D" w:rsidP="00E60F7D">
      <w:pPr>
        <w:pStyle w:val="SOPLevel2"/>
        <w:numPr>
          <w:ilvl w:val="1"/>
          <w:numId w:val="2"/>
        </w:numPr>
      </w:pPr>
      <w:r w:rsidRPr="00F20894">
        <w:t xml:space="preserve">&lt;Termination of IRB Approval&gt;: </w:t>
      </w:r>
      <w:r>
        <w:t>W</w:t>
      </w:r>
      <w:r w:rsidRPr="00F20894">
        <w:t>ithdrawal of IRB approval for all research procedures</w:t>
      </w:r>
      <w:r>
        <w:t xml:space="preserve"> where the IRB does not anticipate re-opening the study.</w:t>
      </w:r>
    </w:p>
    <w:p w14:paraId="0A2888B4" w14:textId="77777777" w:rsidR="00E60F7D" w:rsidRPr="00F20894" w:rsidRDefault="00E60F7D" w:rsidP="00E60F7D">
      <w:pPr>
        <w:pStyle w:val="SOPLevel2"/>
        <w:numPr>
          <w:ilvl w:val="1"/>
          <w:numId w:val="2"/>
        </w:numPr>
      </w:pPr>
      <w:r w:rsidRPr="00F20894">
        <w:t>&lt;Unanticipated Problems Involving Risks to Subjects or Others&gt;: Information that:</w:t>
      </w:r>
    </w:p>
    <w:p w14:paraId="5011219B" w14:textId="77777777" w:rsidR="00E60F7D" w:rsidRPr="00F20894" w:rsidRDefault="00E60F7D" w:rsidP="00E60F7D">
      <w:pPr>
        <w:pStyle w:val="SOPLevel3"/>
        <w:numPr>
          <w:ilvl w:val="2"/>
          <w:numId w:val="2"/>
        </w:numPr>
      </w:pPr>
      <w:r w:rsidRPr="00F20894">
        <w:t>Is unexpected (inconsistent with information previously reviewed by the IRB); and</w:t>
      </w:r>
    </w:p>
    <w:p w14:paraId="3C430456" w14:textId="5F3DFC58" w:rsidR="00E60F7D" w:rsidRPr="00F20894" w:rsidRDefault="00E60F7D" w:rsidP="00E60F7D">
      <w:pPr>
        <w:pStyle w:val="SOPLevel3"/>
        <w:numPr>
          <w:ilvl w:val="2"/>
          <w:numId w:val="2"/>
        </w:numPr>
      </w:pPr>
      <w:r w:rsidRPr="00F20894">
        <w:t>Indicates that subjects or others are at increased risk of harm because of the research study</w:t>
      </w:r>
      <w:r>
        <w:t>.</w:t>
      </w:r>
    </w:p>
    <w:p w14:paraId="720A2697" w14:textId="77777777" w:rsidR="00E60F7D" w:rsidRPr="00F20894" w:rsidRDefault="00E60F7D" w:rsidP="00E60F7D">
      <w:pPr>
        <w:pStyle w:val="SOPLevel2"/>
        <w:numPr>
          <w:ilvl w:val="1"/>
          <w:numId w:val="2"/>
        </w:numPr>
      </w:pPr>
      <w:r w:rsidRPr="00F20894">
        <w:t>&lt;Wards&gt;: &lt;Children&gt; who are cared for and the responsibility of the state or any other agency, institution, or entity</w:t>
      </w:r>
      <w:r>
        <w:t>.</w:t>
      </w:r>
    </w:p>
    <w:p w14:paraId="0A775669" w14:textId="77777777" w:rsidR="00E60F7D" w:rsidRPr="00F20894" w:rsidRDefault="00E60F7D" w:rsidP="00E60F7D">
      <w:pPr>
        <w:pStyle w:val="SOPLevel1"/>
        <w:numPr>
          <w:ilvl w:val="0"/>
          <w:numId w:val="2"/>
        </w:numPr>
      </w:pPr>
      <w:r w:rsidRPr="00F20894">
        <w:t>REFERENCES</w:t>
      </w:r>
    </w:p>
    <w:p w14:paraId="1F3AAEAC" w14:textId="77777777" w:rsidR="00E60F7D" w:rsidRPr="00F20894" w:rsidRDefault="00E60F7D" w:rsidP="00CD79B5">
      <w:pPr>
        <w:pStyle w:val="SOPLevel2"/>
      </w:pPr>
      <w:r w:rsidRPr="00F20894">
        <w:t>45 CFR §46.102, §46.202, §46.303, §46.402</w:t>
      </w:r>
    </w:p>
    <w:p w14:paraId="029A323D" w14:textId="03457D7D" w:rsidR="006D21A8" w:rsidRDefault="00E60F7D" w:rsidP="00CD79B5">
      <w:pPr>
        <w:pStyle w:val="SOPLevel2"/>
      </w:pPr>
      <w:r w:rsidRPr="00F20894">
        <w:t>21 CFR §50, §56.102, §312.3, §812.3</w:t>
      </w:r>
    </w:p>
    <w:p w14:paraId="1BEBCDB3" w14:textId="4708834D" w:rsidR="00F9369D" w:rsidRDefault="00F9369D" w:rsidP="00F9369D">
      <w:pPr>
        <w:pStyle w:val="SOPLevel2"/>
      </w:pPr>
      <w:r>
        <w:t>DOD Instruction 3216.02 April 15, 2020</w:t>
      </w:r>
    </w:p>
    <w:p w14:paraId="71072BAF" w14:textId="724EE301" w:rsidR="00CD79B5" w:rsidRDefault="00CD79B5" w:rsidP="000D12B2">
      <w:pPr>
        <w:pStyle w:val="SOPLevel2"/>
        <w:keepNext/>
        <w:keepLines/>
      </w:pPr>
      <w:r>
        <w:lastRenderedPageBreak/>
        <w:t xml:space="preserve">Table of </w:t>
      </w:r>
      <w:r w:rsidR="00A31738">
        <w:t>&lt;</w:t>
      </w:r>
      <w:r>
        <w:t>Hybrid</w:t>
      </w:r>
      <w:r w:rsidR="005552B8">
        <w:t> Rule&gt;</w:t>
      </w:r>
      <w:r w:rsidR="007B5A35">
        <w:t xml:space="preserve"> requirements</w:t>
      </w:r>
      <w:r w:rsidR="00017963">
        <w:t>:</w:t>
      </w:r>
      <w:r w:rsidR="00A31738">
        <w:t xml:space="preserve"> </w:t>
      </w:r>
      <w:r w:rsidR="007B5A35">
        <w:t xml:space="preserve">The </w:t>
      </w:r>
      <w:r w:rsidR="00A31738">
        <w:t>&lt;Hybrid</w:t>
      </w:r>
      <w:r w:rsidR="005552B8">
        <w:t> Rule&gt;</w:t>
      </w:r>
      <w:r w:rsidR="00A31738">
        <w:t xml:space="preserve"> follow</w:t>
      </w:r>
      <w:r w:rsidR="007B5A35">
        <w:t>s</w:t>
      </w:r>
      <w:r w:rsidR="00A31738">
        <w:t xml:space="preserve"> the &lt;Revised</w:t>
      </w:r>
      <w:r w:rsidR="005552B8">
        <w:t> Rule&gt;</w:t>
      </w:r>
      <w:r w:rsidR="00F9126E">
        <w:t>,</w:t>
      </w:r>
      <w:r w:rsidR="00A31738">
        <w:t xml:space="preserve"> </w:t>
      </w:r>
      <w:r w:rsidR="00F9126E">
        <w:t>unless</w:t>
      </w:r>
      <w:r w:rsidR="00A31738">
        <w:t xml:space="preserve"> the &lt;Original</w:t>
      </w:r>
      <w:r w:rsidR="005552B8">
        <w:t> Rule&gt;</w:t>
      </w:r>
      <w:r w:rsidR="00F9126E">
        <w:t xml:space="preserve"> </w:t>
      </w:r>
      <w:r w:rsidR="007B5A35">
        <w:t>is</w:t>
      </w:r>
      <w:r w:rsidR="00F9126E">
        <w:t xml:space="preserve"> substantially less restrictive, in which case the &lt;Original</w:t>
      </w:r>
      <w:r w:rsidR="005552B8">
        <w:t> Rule&gt;</w:t>
      </w:r>
      <w:r w:rsidR="00F9126E">
        <w:t xml:space="preserve"> </w:t>
      </w:r>
      <w:r w:rsidR="007B5A35">
        <w:t>is</w:t>
      </w:r>
      <w:r w:rsidR="00F9126E">
        <w:t xml:space="preserve"> followed.</w:t>
      </w:r>
      <w:r w:rsidR="000D12B2" w:rsidRPr="000D12B2">
        <w:t xml:space="preserve"> </w:t>
      </w:r>
      <w:bookmarkStart w:id="0" w:name="_Hlk529875084"/>
      <w:r w:rsidR="000D12B2" w:rsidRPr="000D12B2">
        <w:t>Blank lines represent sections where there are no key changes that affect the HRPP, but a policy decision was</w:t>
      </w:r>
      <w:r w:rsidR="00293C9F">
        <w:t xml:space="preserve"> made to follow one rule or the </w:t>
      </w:r>
      <w:r w:rsidR="000D12B2" w:rsidRPr="000D12B2">
        <w:t>other.</w:t>
      </w:r>
      <w:bookmarkEnd w:id="0"/>
    </w:p>
    <w:tbl>
      <w:tblPr>
        <w:tblStyle w:val="TableGrid"/>
        <w:tblW w:w="5000" w:type="pct"/>
        <w:tblLayout w:type="fixed"/>
        <w:tblLook w:val="04A0" w:firstRow="1" w:lastRow="0" w:firstColumn="1" w:lastColumn="0" w:noHBand="0" w:noVBand="1"/>
      </w:tblPr>
      <w:tblGrid>
        <w:gridCol w:w="1165"/>
        <w:gridCol w:w="5085"/>
        <w:gridCol w:w="1550"/>
        <w:gridCol w:w="1550"/>
      </w:tblGrid>
      <w:tr w:rsidR="00F9126E" w14:paraId="01A7ABED" w14:textId="77777777" w:rsidTr="00017963">
        <w:trPr>
          <w:cantSplit/>
        </w:trPr>
        <w:tc>
          <w:tcPr>
            <w:tcW w:w="1165" w:type="dxa"/>
            <w:vMerge w:val="restart"/>
            <w:vAlign w:val="center"/>
          </w:tcPr>
          <w:p w14:paraId="3B23BC28" w14:textId="055859E4" w:rsidR="00CD79B5" w:rsidRPr="00CD79B5" w:rsidRDefault="00CD79B5" w:rsidP="00017963">
            <w:pPr>
              <w:keepNext/>
              <w:keepLines/>
              <w:jc w:val="center"/>
              <w:rPr>
                <w:rFonts w:ascii="Arial" w:hAnsi="Arial" w:cs="Arial"/>
                <w:b/>
                <w:sz w:val="20"/>
                <w:szCs w:val="20"/>
              </w:rPr>
            </w:pPr>
            <w:r w:rsidRPr="00CD79B5">
              <w:rPr>
                <w:rFonts w:ascii="Arial" w:hAnsi="Arial" w:cs="Arial"/>
                <w:b/>
                <w:sz w:val="20"/>
                <w:szCs w:val="20"/>
              </w:rPr>
              <w:t>Citation</w:t>
            </w:r>
          </w:p>
        </w:tc>
        <w:tc>
          <w:tcPr>
            <w:tcW w:w="5085" w:type="dxa"/>
            <w:vMerge w:val="restart"/>
            <w:vAlign w:val="center"/>
          </w:tcPr>
          <w:p w14:paraId="64F60D71" w14:textId="6547F158" w:rsidR="00CD79B5" w:rsidRPr="00CD79B5" w:rsidRDefault="00C22AD9" w:rsidP="00CD79B5">
            <w:pPr>
              <w:keepNext/>
              <w:keepLines/>
              <w:jc w:val="center"/>
              <w:rPr>
                <w:rFonts w:ascii="Arial" w:hAnsi="Arial" w:cs="Arial"/>
                <w:b/>
                <w:sz w:val="20"/>
                <w:szCs w:val="20"/>
              </w:rPr>
            </w:pPr>
            <w:r>
              <w:rPr>
                <w:rFonts w:ascii="Arial" w:hAnsi="Arial" w:cs="Arial"/>
                <w:b/>
                <w:sz w:val="20"/>
                <w:szCs w:val="20"/>
              </w:rPr>
              <w:t xml:space="preserve">Key </w:t>
            </w:r>
            <w:r w:rsidR="00CD79B5" w:rsidRPr="00CD79B5">
              <w:rPr>
                <w:rFonts w:ascii="Arial" w:hAnsi="Arial" w:cs="Arial"/>
                <w:b/>
                <w:sz w:val="20"/>
                <w:szCs w:val="20"/>
              </w:rPr>
              <w:t>Change in Revised Common Rule</w:t>
            </w:r>
          </w:p>
        </w:tc>
        <w:tc>
          <w:tcPr>
            <w:tcW w:w="3100" w:type="dxa"/>
            <w:gridSpan w:val="2"/>
          </w:tcPr>
          <w:p w14:paraId="4E6E89C2" w14:textId="0460B08C" w:rsidR="00CD79B5" w:rsidRPr="00CD79B5" w:rsidRDefault="00CD79B5" w:rsidP="00CD79B5">
            <w:pPr>
              <w:keepNext/>
              <w:keepLines/>
              <w:jc w:val="center"/>
              <w:rPr>
                <w:rFonts w:ascii="Arial" w:hAnsi="Arial" w:cs="Arial"/>
                <w:b/>
                <w:sz w:val="20"/>
                <w:szCs w:val="20"/>
              </w:rPr>
            </w:pPr>
            <w:r w:rsidRPr="00CD79B5">
              <w:rPr>
                <w:rFonts w:ascii="Arial" w:hAnsi="Arial" w:cs="Arial"/>
                <w:b/>
                <w:sz w:val="20"/>
                <w:szCs w:val="20"/>
              </w:rPr>
              <w:t xml:space="preserve">Hybrid </w:t>
            </w:r>
            <w:r w:rsidR="000255EA">
              <w:rPr>
                <w:b/>
              </w:rPr>
              <w:t>Rule</w:t>
            </w:r>
            <w:r w:rsidR="00A31738" w:rsidRPr="00CD79B5">
              <w:rPr>
                <w:rFonts w:ascii="Arial" w:hAnsi="Arial" w:cs="Arial"/>
                <w:b/>
                <w:sz w:val="20"/>
                <w:szCs w:val="20"/>
              </w:rPr>
              <w:t xml:space="preserve"> </w:t>
            </w:r>
            <w:r w:rsidRPr="00CD79B5">
              <w:rPr>
                <w:rFonts w:ascii="Arial" w:hAnsi="Arial" w:cs="Arial"/>
                <w:b/>
                <w:sz w:val="20"/>
                <w:szCs w:val="20"/>
              </w:rPr>
              <w:t>Follow</w:t>
            </w:r>
          </w:p>
        </w:tc>
      </w:tr>
      <w:tr w:rsidR="00A31738" w14:paraId="6454D602" w14:textId="77777777" w:rsidTr="00017963">
        <w:trPr>
          <w:cantSplit/>
        </w:trPr>
        <w:tc>
          <w:tcPr>
            <w:tcW w:w="1165" w:type="dxa"/>
            <w:vMerge/>
          </w:tcPr>
          <w:p w14:paraId="187B4B69" w14:textId="77777777" w:rsidR="00A31738" w:rsidRPr="00CD79B5" w:rsidRDefault="00A31738" w:rsidP="00A31738">
            <w:pPr>
              <w:keepNext/>
              <w:keepLines/>
              <w:rPr>
                <w:rFonts w:ascii="Arial" w:hAnsi="Arial" w:cs="Arial"/>
                <w:b/>
                <w:sz w:val="20"/>
                <w:szCs w:val="20"/>
              </w:rPr>
            </w:pPr>
            <w:bookmarkStart w:id="1" w:name="_Hlk527207784"/>
          </w:p>
        </w:tc>
        <w:tc>
          <w:tcPr>
            <w:tcW w:w="5085" w:type="dxa"/>
            <w:vMerge/>
          </w:tcPr>
          <w:p w14:paraId="4D08CA58" w14:textId="77777777" w:rsidR="00A31738" w:rsidRPr="00CD79B5" w:rsidRDefault="00A31738" w:rsidP="00A31738">
            <w:pPr>
              <w:keepNext/>
              <w:keepLines/>
              <w:rPr>
                <w:rFonts w:ascii="Arial" w:hAnsi="Arial" w:cs="Arial"/>
                <w:b/>
                <w:sz w:val="20"/>
                <w:szCs w:val="20"/>
              </w:rPr>
            </w:pPr>
          </w:p>
        </w:tc>
        <w:tc>
          <w:tcPr>
            <w:tcW w:w="1550" w:type="dxa"/>
          </w:tcPr>
          <w:p w14:paraId="17CCAED2" w14:textId="77777777" w:rsidR="00A31738" w:rsidRDefault="00A31738" w:rsidP="00A31738">
            <w:pPr>
              <w:keepNext/>
              <w:keepLines/>
              <w:jc w:val="center"/>
              <w:rPr>
                <w:rFonts w:ascii="Arial" w:hAnsi="Arial" w:cs="Arial"/>
                <w:b/>
                <w:sz w:val="20"/>
                <w:szCs w:val="20"/>
              </w:rPr>
            </w:pPr>
            <w:r>
              <w:rPr>
                <w:rFonts w:ascii="Arial" w:hAnsi="Arial" w:cs="Arial"/>
                <w:b/>
                <w:sz w:val="20"/>
                <w:szCs w:val="20"/>
              </w:rPr>
              <w:t>Revised</w:t>
            </w:r>
            <w:r w:rsidRPr="00CD79B5">
              <w:rPr>
                <w:rFonts w:ascii="Arial" w:hAnsi="Arial" w:cs="Arial"/>
                <w:b/>
                <w:sz w:val="20"/>
                <w:szCs w:val="20"/>
              </w:rPr>
              <w:t xml:space="preserve"> </w:t>
            </w:r>
          </w:p>
          <w:p w14:paraId="65477715" w14:textId="5DF66571" w:rsidR="00A31738" w:rsidRPr="00CD79B5" w:rsidRDefault="000255EA" w:rsidP="00A31738">
            <w:pPr>
              <w:keepNext/>
              <w:keepLines/>
              <w:jc w:val="center"/>
              <w:rPr>
                <w:rFonts w:ascii="Arial" w:hAnsi="Arial" w:cs="Arial"/>
                <w:b/>
                <w:sz w:val="20"/>
                <w:szCs w:val="20"/>
              </w:rPr>
            </w:pPr>
            <w:r>
              <w:rPr>
                <w:rFonts w:ascii="Arial" w:hAnsi="Arial" w:cs="Arial"/>
                <w:b/>
                <w:sz w:val="20"/>
                <w:szCs w:val="20"/>
              </w:rPr>
              <w:t>Rule</w:t>
            </w:r>
          </w:p>
        </w:tc>
        <w:tc>
          <w:tcPr>
            <w:tcW w:w="1550" w:type="dxa"/>
          </w:tcPr>
          <w:p w14:paraId="21A80E91" w14:textId="182C9426" w:rsidR="00A31738" w:rsidRDefault="00A31738" w:rsidP="00A31738">
            <w:pPr>
              <w:keepNext/>
              <w:keepLines/>
              <w:jc w:val="center"/>
              <w:rPr>
                <w:rFonts w:ascii="Arial" w:hAnsi="Arial" w:cs="Arial"/>
                <w:b/>
                <w:sz w:val="20"/>
                <w:szCs w:val="20"/>
              </w:rPr>
            </w:pPr>
            <w:r>
              <w:rPr>
                <w:rFonts w:ascii="Arial" w:hAnsi="Arial" w:cs="Arial"/>
                <w:b/>
                <w:sz w:val="20"/>
                <w:szCs w:val="20"/>
              </w:rPr>
              <w:t>Original</w:t>
            </w:r>
          </w:p>
          <w:p w14:paraId="01B05260" w14:textId="33ABF568" w:rsidR="00A31738" w:rsidRPr="00CD79B5" w:rsidRDefault="000255EA" w:rsidP="00A31738">
            <w:pPr>
              <w:keepNext/>
              <w:keepLines/>
              <w:jc w:val="center"/>
              <w:rPr>
                <w:rFonts w:ascii="Arial" w:hAnsi="Arial" w:cs="Arial"/>
                <w:b/>
                <w:sz w:val="20"/>
                <w:szCs w:val="20"/>
              </w:rPr>
            </w:pPr>
            <w:r>
              <w:rPr>
                <w:rFonts w:ascii="Arial" w:hAnsi="Arial" w:cs="Arial"/>
                <w:b/>
                <w:sz w:val="20"/>
                <w:szCs w:val="20"/>
              </w:rPr>
              <w:t>Rule</w:t>
            </w:r>
          </w:p>
        </w:tc>
      </w:tr>
      <w:tr w:rsidR="00A31738" w14:paraId="6581CA98" w14:textId="77777777" w:rsidTr="00017963">
        <w:trPr>
          <w:cantSplit/>
        </w:trPr>
        <w:tc>
          <w:tcPr>
            <w:tcW w:w="1165" w:type="dxa"/>
          </w:tcPr>
          <w:p w14:paraId="7DB5C0CD" w14:textId="17379FCD" w:rsidR="00A31738" w:rsidRPr="00CD79B5" w:rsidRDefault="00017963" w:rsidP="00CD79B5">
            <w:pPr>
              <w:keepNext/>
              <w:keepLines/>
              <w:rPr>
                <w:rFonts w:ascii="Arial" w:hAnsi="Arial" w:cs="Arial"/>
                <w:sz w:val="20"/>
                <w:szCs w:val="20"/>
              </w:rPr>
            </w:pPr>
            <w:r>
              <w:rPr>
                <w:rFonts w:ascii="Arial" w:hAnsi="Arial" w:cs="Arial"/>
                <w:sz w:val="20"/>
                <w:szCs w:val="20"/>
              </w:rPr>
              <w:t>.</w:t>
            </w:r>
            <w:r w:rsidR="005B71E0">
              <w:rPr>
                <w:rFonts w:ascii="Arial" w:hAnsi="Arial" w:cs="Arial"/>
                <w:sz w:val="20"/>
                <w:szCs w:val="20"/>
              </w:rPr>
              <w:t>101</w:t>
            </w:r>
          </w:p>
        </w:tc>
        <w:tc>
          <w:tcPr>
            <w:tcW w:w="5085" w:type="dxa"/>
          </w:tcPr>
          <w:p w14:paraId="40B263EC" w14:textId="1C999C87" w:rsidR="00A31738" w:rsidRPr="00F9126E" w:rsidRDefault="00F9126E" w:rsidP="00F9126E">
            <w:pPr>
              <w:pStyle w:val="ListParagraph"/>
              <w:keepNext/>
              <w:keepLines/>
              <w:numPr>
                <w:ilvl w:val="0"/>
                <w:numId w:val="16"/>
              </w:numPr>
              <w:ind w:left="360"/>
              <w:rPr>
                <w:rFonts w:ascii="Arial" w:hAnsi="Arial" w:cs="Arial"/>
                <w:sz w:val="20"/>
                <w:szCs w:val="20"/>
              </w:rPr>
            </w:pPr>
            <w:r>
              <w:rPr>
                <w:rFonts w:ascii="Arial" w:hAnsi="Arial" w:cs="Arial"/>
                <w:sz w:val="20"/>
                <w:szCs w:val="20"/>
              </w:rPr>
              <w:t>No requirement for IRB review of grants</w:t>
            </w:r>
          </w:p>
        </w:tc>
        <w:tc>
          <w:tcPr>
            <w:tcW w:w="1550" w:type="dxa"/>
            <w:vAlign w:val="center"/>
          </w:tcPr>
          <w:p w14:paraId="16B01A7F" w14:textId="2BAB5313" w:rsidR="00A31738" w:rsidRPr="00CD79B5" w:rsidRDefault="00C22AD9" w:rsidP="00017963">
            <w:pPr>
              <w:keepNext/>
              <w:keepLines/>
              <w:jc w:val="center"/>
              <w:rPr>
                <w:rFonts w:ascii="Arial" w:hAnsi="Arial" w:cs="Arial"/>
                <w:sz w:val="20"/>
                <w:szCs w:val="20"/>
              </w:rPr>
            </w:pPr>
            <w:r w:rsidRPr="00CD79B5">
              <w:rPr>
                <w:rFonts w:ascii="Arial" w:hAnsi="Arial" w:cs="Arial"/>
                <w:sz w:val="20"/>
                <w:szCs w:val="20"/>
              </w:rPr>
              <w:t>X</w:t>
            </w:r>
          </w:p>
        </w:tc>
        <w:tc>
          <w:tcPr>
            <w:tcW w:w="1550" w:type="dxa"/>
            <w:vAlign w:val="center"/>
          </w:tcPr>
          <w:p w14:paraId="7CF531BB" w14:textId="77777777" w:rsidR="00A31738" w:rsidRPr="00CD79B5" w:rsidRDefault="00A31738" w:rsidP="00017963">
            <w:pPr>
              <w:keepNext/>
              <w:keepLines/>
              <w:jc w:val="center"/>
              <w:rPr>
                <w:rFonts w:ascii="Arial" w:hAnsi="Arial" w:cs="Arial"/>
                <w:sz w:val="20"/>
                <w:szCs w:val="20"/>
              </w:rPr>
            </w:pPr>
          </w:p>
        </w:tc>
      </w:tr>
      <w:bookmarkEnd w:id="1"/>
      <w:tr w:rsidR="00A31738" w14:paraId="5944BD6E" w14:textId="77777777" w:rsidTr="00017963">
        <w:trPr>
          <w:cantSplit/>
        </w:trPr>
        <w:tc>
          <w:tcPr>
            <w:tcW w:w="1165" w:type="dxa"/>
          </w:tcPr>
          <w:p w14:paraId="25A30038" w14:textId="1335B63C" w:rsidR="00CD79B5" w:rsidRPr="00CD79B5" w:rsidRDefault="00017963" w:rsidP="00CD79B5">
            <w:pPr>
              <w:keepNext/>
              <w:keepLines/>
              <w:rPr>
                <w:rFonts w:ascii="Arial" w:hAnsi="Arial" w:cs="Arial"/>
                <w:sz w:val="20"/>
                <w:szCs w:val="20"/>
              </w:rPr>
            </w:pPr>
            <w:r>
              <w:rPr>
                <w:rFonts w:ascii="Arial" w:hAnsi="Arial" w:cs="Arial"/>
                <w:sz w:val="20"/>
                <w:szCs w:val="20"/>
              </w:rPr>
              <w:t>.</w:t>
            </w:r>
            <w:r w:rsidR="00CD79B5" w:rsidRPr="00CD79B5">
              <w:rPr>
                <w:rFonts w:ascii="Arial" w:hAnsi="Arial" w:cs="Arial"/>
                <w:sz w:val="20"/>
                <w:szCs w:val="20"/>
              </w:rPr>
              <w:t>102</w:t>
            </w:r>
          </w:p>
        </w:tc>
        <w:tc>
          <w:tcPr>
            <w:tcW w:w="5085" w:type="dxa"/>
          </w:tcPr>
          <w:p w14:paraId="794C27A0" w14:textId="77777777" w:rsidR="00CD79B5" w:rsidRPr="00C22AD9" w:rsidRDefault="00CD79B5" w:rsidP="00C22AD9">
            <w:pPr>
              <w:pStyle w:val="ListParagraph"/>
              <w:keepNext/>
              <w:keepLines/>
              <w:numPr>
                <w:ilvl w:val="0"/>
                <w:numId w:val="15"/>
              </w:numPr>
              <w:ind w:left="360"/>
              <w:rPr>
                <w:rFonts w:ascii="Arial" w:hAnsi="Arial" w:cs="Arial"/>
                <w:sz w:val="20"/>
                <w:szCs w:val="20"/>
              </w:rPr>
            </w:pPr>
            <w:r w:rsidRPr="00C22AD9">
              <w:rPr>
                <w:rFonts w:ascii="Arial" w:hAnsi="Arial" w:cs="Arial"/>
                <w:sz w:val="20"/>
                <w:szCs w:val="20"/>
              </w:rPr>
              <w:t>Revised definitions</w:t>
            </w:r>
          </w:p>
        </w:tc>
        <w:tc>
          <w:tcPr>
            <w:tcW w:w="1550" w:type="dxa"/>
            <w:vAlign w:val="center"/>
          </w:tcPr>
          <w:p w14:paraId="799929AC" w14:textId="03A9249B" w:rsidR="00CD79B5" w:rsidRPr="00CD79B5" w:rsidRDefault="00CD79B5" w:rsidP="00017963">
            <w:pPr>
              <w:keepNext/>
              <w:keepLines/>
              <w:tabs>
                <w:tab w:val="left" w:pos="180"/>
                <w:tab w:val="center" w:pos="667"/>
              </w:tabs>
              <w:jc w:val="center"/>
              <w:rPr>
                <w:rFonts w:ascii="Arial" w:hAnsi="Arial" w:cs="Arial"/>
                <w:sz w:val="20"/>
                <w:szCs w:val="20"/>
              </w:rPr>
            </w:pPr>
            <w:r w:rsidRPr="00CD79B5">
              <w:rPr>
                <w:rFonts w:ascii="Arial" w:hAnsi="Arial" w:cs="Arial"/>
                <w:sz w:val="20"/>
                <w:szCs w:val="20"/>
              </w:rPr>
              <w:t>X</w:t>
            </w:r>
          </w:p>
        </w:tc>
        <w:tc>
          <w:tcPr>
            <w:tcW w:w="1550" w:type="dxa"/>
            <w:vAlign w:val="center"/>
          </w:tcPr>
          <w:p w14:paraId="03E091C4" w14:textId="77777777" w:rsidR="00CD79B5" w:rsidRPr="00CD79B5" w:rsidRDefault="00CD79B5" w:rsidP="00017963">
            <w:pPr>
              <w:keepNext/>
              <w:keepLines/>
              <w:jc w:val="center"/>
              <w:rPr>
                <w:rFonts w:ascii="Arial" w:hAnsi="Arial" w:cs="Arial"/>
                <w:sz w:val="20"/>
                <w:szCs w:val="20"/>
              </w:rPr>
            </w:pPr>
          </w:p>
        </w:tc>
      </w:tr>
      <w:tr w:rsidR="00A31738" w14:paraId="790D59E5" w14:textId="77777777" w:rsidTr="00017963">
        <w:trPr>
          <w:cantSplit/>
        </w:trPr>
        <w:tc>
          <w:tcPr>
            <w:tcW w:w="1165" w:type="dxa"/>
          </w:tcPr>
          <w:p w14:paraId="3D240BC3" w14:textId="2FD70CF7" w:rsidR="00CD79B5" w:rsidRPr="00CD79B5" w:rsidRDefault="00017963" w:rsidP="00CD79B5">
            <w:pPr>
              <w:keepNext/>
              <w:keepLines/>
              <w:rPr>
                <w:rFonts w:ascii="Arial" w:hAnsi="Arial" w:cs="Arial"/>
                <w:sz w:val="20"/>
                <w:szCs w:val="20"/>
              </w:rPr>
            </w:pPr>
            <w:r>
              <w:rPr>
                <w:rFonts w:ascii="Arial" w:hAnsi="Arial" w:cs="Arial"/>
                <w:sz w:val="20"/>
                <w:szCs w:val="20"/>
              </w:rPr>
              <w:t>.</w:t>
            </w:r>
            <w:r w:rsidR="00CD79B5" w:rsidRPr="00CD79B5">
              <w:rPr>
                <w:rFonts w:ascii="Arial" w:hAnsi="Arial" w:cs="Arial"/>
                <w:sz w:val="20"/>
                <w:szCs w:val="20"/>
              </w:rPr>
              <w:t>103</w:t>
            </w:r>
          </w:p>
        </w:tc>
        <w:tc>
          <w:tcPr>
            <w:tcW w:w="5085" w:type="dxa"/>
          </w:tcPr>
          <w:p w14:paraId="0DE0C06E" w14:textId="77777777" w:rsidR="00CD79B5" w:rsidRPr="00C22AD9" w:rsidRDefault="00CD79B5" w:rsidP="00C22AD9">
            <w:pPr>
              <w:pStyle w:val="ListParagraph"/>
              <w:keepNext/>
              <w:keepLines/>
              <w:numPr>
                <w:ilvl w:val="0"/>
                <w:numId w:val="15"/>
              </w:numPr>
              <w:ind w:left="360"/>
              <w:rPr>
                <w:rFonts w:ascii="Arial" w:hAnsi="Arial" w:cs="Arial"/>
                <w:sz w:val="20"/>
                <w:szCs w:val="20"/>
              </w:rPr>
            </w:pPr>
            <w:r w:rsidRPr="00C22AD9">
              <w:rPr>
                <w:rFonts w:ascii="Arial" w:hAnsi="Arial" w:cs="Arial"/>
                <w:sz w:val="20"/>
                <w:szCs w:val="20"/>
              </w:rPr>
              <w:t>Grant review no longer required</w:t>
            </w:r>
          </w:p>
          <w:p w14:paraId="2AE419C6" w14:textId="0242F91B" w:rsidR="00A31738" w:rsidRPr="00C22AD9" w:rsidRDefault="00A31738" w:rsidP="00C22AD9">
            <w:pPr>
              <w:pStyle w:val="ListParagraph"/>
              <w:keepNext/>
              <w:keepLines/>
              <w:numPr>
                <w:ilvl w:val="0"/>
                <w:numId w:val="15"/>
              </w:numPr>
              <w:ind w:left="360"/>
              <w:rPr>
                <w:rFonts w:ascii="Arial" w:hAnsi="Arial" w:cs="Arial"/>
                <w:sz w:val="20"/>
                <w:szCs w:val="20"/>
              </w:rPr>
            </w:pPr>
            <w:r w:rsidRPr="00C22AD9">
              <w:rPr>
                <w:rFonts w:ascii="Arial" w:hAnsi="Arial" w:cs="Arial"/>
                <w:sz w:val="20"/>
                <w:szCs w:val="20"/>
              </w:rPr>
              <w:t>Documentation of IRB reliance through an agreement or policy</w:t>
            </w:r>
          </w:p>
        </w:tc>
        <w:tc>
          <w:tcPr>
            <w:tcW w:w="1550" w:type="dxa"/>
            <w:vAlign w:val="center"/>
          </w:tcPr>
          <w:p w14:paraId="0BBD83EB" w14:textId="77777777" w:rsidR="00CD79B5" w:rsidRPr="00CD79B5" w:rsidRDefault="00CD79B5" w:rsidP="00017963">
            <w:pPr>
              <w:keepNext/>
              <w:keepLines/>
              <w:jc w:val="center"/>
              <w:rPr>
                <w:rFonts w:ascii="Arial" w:hAnsi="Arial" w:cs="Arial"/>
                <w:sz w:val="20"/>
                <w:szCs w:val="20"/>
              </w:rPr>
            </w:pPr>
            <w:r w:rsidRPr="00CD79B5">
              <w:rPr>
                <w:rFonts w:ascii="Arial" w:hAnsi="Arial" w:cs="Arial"/>
                <w:sz w:val="20"/>
                <w:szCs w:val="20"/>
              </w:rPr>
              <w:t>X</w:t>
            </w:r>
          </w:p>
        </w:tc>
        <w:tc>
          <w:tcPr>
            <w:tcW w:w="1550" w:type="dxa"/>
            <w:vAlign w:val="center"/>
          </w:tcPr>
          <w:p w14:paraId="007A90B0" w14:textId="77777777" w:rsidR="00CD79B5" w:rsidRPr="00CD79B5" w:rsidRDefault="00CD79B5" w:rsidP="00017963">
            <w:pPr>
              <w:keepNext/>
              <w:keepLines/>
              <w:jc w:val="center"/>
              <w:rPr>
                <w:rFonts w:ascii="Arial" w:hAnsi="Arial" w:cs="Arial"/>
                <w:sz w:val="20"/>
                <w:szCs w:val="20"/>
              </w:rPr>
            </w:pPr>
          </w:p>
        </w:tc>
      </w:tr>
      <w:tr w:rsidR="00A31738" w14:paraId="54483486" w14:textId="77777777" w:rsidTr="00017963">
        <w:trPr>
          <w:cantSplit/>
        </w:trPr>
        <w:tc>
          <w:tcPr>
            <w:tcW w:w="1165" w:type="dxa"/>
          </w:tcPr>
          <w:p w14:paraId="103E9B9C" w14:textId="2AD3A6F0" w:rsidR="00A31738" w:rsidRPr="00CD79B5" w:rsidRDefault="00017963" w:rsidP="00CD79B5">
            <w:pPr>
              <w:keepNext/>
              <w:keepLines/>
              <w:rPr>
                <w:rFonts w:ascii="Arial" w:hAnsi="Arial" w:cs="Arial"/>
                <w:sz w:val="20"/>
                <w:szCs w:val="20"/>
              </w:rPr>
            </w:pPr>
            <w:r>
              <w:rPr>
                <w:rFonts w:ascii="Arial" w:hAnsi="Arial" w:cs="Arial"/>
                <w:sz w:val="20"/>
                <w:szCs w:val="20"/>
              </w:rPr>
              <w:t>.</w:t>
            </w:r>
            <w:r w:rsidR="00A31738" w:rsidRPr="00CD79B5">
              <w:rPr>
                <w:rFonts w:ascii="Arial" w:hAnsi="Arial" w:cs="Arial"/>
                <w:sz w:val="20"/>
                <w:szCs w:val="20"/>
              </w:rPr>
              <w:t>104</w:t>
            </w:r>
          </w:p>
        </w:tc>
        <w:tc>
          <w:tcPr>
            <w:tcW w:w="5085" w:type="dxa"/>
          </w:tcPr>
          <w:p w14:paraId="4CE46099" w14:textId="70EF6869" w:rsidR="00A31738" w:rsidRPr="00C22AD9" w:rsidRDefault="00A31738" w:rsidP="00C22AD9">
            <w:pPr>
              <w:pStyle w:val="ListParagraph"/>
              <w:keepNext/>
              <w:keepLines/>
              <w:numPr>
                <w:ilvl w:val="0"/>
                <w:numId w:val="15"/>
              </w:numPr>
              <w:ind w:left="360"/>
              <w:rPr>
                <w:rFonts w:ascii="Arial" w:hAnsi="Arial" w:cs="Arial"/>
                <w:sz w:val="20"/>
                <w:szCs w:val="20"/>
              </w:rPr>
            </w:pPr>
            <w:r w:rsidRPr="00C22AD9">
              <w:rPr>
                <w:rFonts w:ascii="Arial" w:hAnsi="Arial" w:cs="Arial"/>
                <w:sz w:val="20"/>
                <w:szCs w:val="20"/>
              </w:rPr>
              <w:t>Revised exempt categories</w:t>
            </w:r>
            <w:r w:rsidRPr="00CD79B5">
              <w:rPr>
                <w:rStyle w:val="FootnoteReference"/>
                <w:rFonts w:ascii="Arial" w:hAnsi="Arial" w:cs="Arial"/>
                <w:sz w:val="20"/>
                <w:szCs w:val="20"/>
              </w:rPr>
              <w:footnoteReference w:id="2"/>
            </w:r>
          </w:p>
        </w:tc>
        <w:tc>
          <w:tcPr>
            <w:tcW w:w="1550" w:type="dxa"/>
            <w:vAlign w:val="center"/>
          </w:tcPr>
          <w:p w14:paraId="705ABEDF" w14:textId="3D795ACE" w:rsidR="00A31738" w:rsidRPr="00CD79B5" w:rsidRDefault="00A31738" w:rsidP="00017963">
            <w:pPr>
              <w:keepNext/>
              <w:keepLines/>
              <w:jc w:val="center"/>
              <w:rPr>
                <w:rFonts w:ascii="Arial" w:hAnsi="Arial" w:cs="Arial"/>
                <w:sz w:val="20"/>
                <w:szCs w:val="20"/>
              </w:rPr>
            </w:pPr>
            <w:r w:rsidRPr="00CD79B5">
              <w:rPr>
                <w:rFonts w:ascii="Arial" w:hAnsi="Arial" w:cs="Arial"/>
                <w:sz w:val="20"/>
                <w:szCs w:val="20"/>
              </w:rPr>
              <w:t>X</w:t>
            </w:r>
          </w:p>
        </w:tc>
        <w:tc>
          <w:tcPr>
            <w:tcW w:w="1550" w:type="dxa"/>
            <w:vAlign w:val="center"/>
          </w:tcPr>
          <w:p w14:paraId="6459636D" w14:textId="77777777" w:rsidR="00A31738" w:rsidRPr="00CD79B5" w:rsidRDefault="00A31738" w:rsidP="00017963">
            <w:pPr>
              <w:keepNext/>
              <w:keepLines/>
              <w:jc w:val="center"/>
              <w:rPr>
                <w:rFonts w:ascii="Arial" w:hAnsi="Arial" w:cs="Arial"/>
                <w:sz w:val="20"/>
                <w:szCs w:val="20"/>
              </w:rPr>
            </w:pPr>
          </w:p>
        </w:tc>
      </w:tr>
      <w:tr w:rsidR="00A31738" w14:paraId="09E156FF" w14:textId="77777777" w:rsidTr="00017963">
        <w:trPr>
          <w:cantSplit/>
        </w:trPr>
        <w:tc>
          <w:tcPr>
            <w:tcW w:w="1165" w:type="dxa"/>
          </w:tcPr>
          <w:p w14:paraId="7113D00B" w14:textId="72C54CAA" w:rsidR="00A31738" w:rsidRPr="00CD79B5" w:rsidRDefault="00017963" w:rsidP="00CD79B5">
            <w:pPr>
              <w:keepNext/>
              <w:keepLines/>
              <w:rPr>
                <w:rFonts w:ascii="Arial" w:hAnsi="Arial" w:cs="Arial"/>
                <w:sz w:val="20"/>
                <w:szCs w:val="20"/>
              </w:rPr>
            </w:pPr>
            <w:r>
              <w:rPr>
                <w:rFonts w:ascii="Arial" w:hAnsi="Arial" w:cs="Arial"/>
                <w:sz w:val="20"/>
                <w:szCs w:val="20"/>
              </w:rPr>
              <w:t>.</w:t>
            </w:r>
            <w:r w:rsidR="00A31738" w:rsidRPr="00CD79B5">
              <w:rPr>
                <w:rFonts w:ascii="Arial" w:hAnsi="Arial" w:cs="Arial"/>
                <w:sz w:val="20"/>
                <w:szCs w:val="20"/>
              </w:rPr>
              <w:t>105</w:t>
            </w:r>
          </w:p>
        </w:tc>
        <w:tc>
          <w:tcPr>
            <w:tcW w:w="5085" w:type="dxa"/>
          </w:tcPr>
          <w:p w14:paraId="20212E42" w14:textId="340718DF" w:rsidR="00A31738" w:rsidRPr="00C22AD9" w:rsidRDefault="006922BB" w:rsidP="006922BB">
            <w:pPr>
              <w:pStyle w:val="ListParagraph"/>
              <w:keepNext/>
              <w:keepLines/>
              <w:numPr>
                <w:ilvl w:val="0"/>
                <w:numId w:val="15"/>
              </w:numPr>
              <w:ind w:left="360"/>
              <w:rPr>
                <w:rFonts w:ascii="Arial" w:hAnsi="Arial" w:cs="Arial"/>
                <w:sz w:val="20"/>
                <w:szCs w:val="20"/>
              </w:rPr>
            </w:pPr>
            <w:r>
              <w:rPr>
                <w:rFonts w:ascii="Arial" w:hAnsi="Arial" w:cs="Arial"/>
                <w:sz w:val="20"/>
                <w:szCs w:val="20"/>
              </w:rPr>
              <w:t xml:space="preserve">Modified </w:t>
            </w:r>
            <w:r w:rsidR="00A31738" w:rsidRPr="00C22AD9">
              <w:rPr>
                <w:rFonts w:ascii="Arial" w:hAnsi="Arial" w:cs="Arial"/>
                <w:sz w:val="20"/>
                <w:szCs w:val="20"/>
              </w:rPr>
              <w:t>examples of vulnerable populations</w:t>
            </w:r>
          </w:p>
        </w:tc>
        <w:tc>
          <w:tcPr>
            <w:tcW w:w="1550" w:type="dxa"/>
            <w:vAlign w:val="center"/>
          </w:tcPr>
          <w:p w14:paraId="33F861FC" w14:textId="4B06E238" w:rsidR="00A31738" w:rsidRPr="00CD79B5" w:rsidRDefault="00A31738" w:rsidP="00017963">
            <w:pPr>
              <w:keepNext/>
              <w:keepLines/>
              <w:jc w:val="center"/>
              <w:rPr>
                <w:rFonts w:ascii="Arial" w:hAnsi="Arial" w:cs="Arial"/>
                <w:sz w:val="20"/>
                <w:szCs w:val="20"/>
              </w:rPr>
            </w:pPr>
            <w:r w:rsidRPr="00CD79B5">
              <w:rPr>
                <w:rFonts w:ascii="Arial" w:hAnsi="Arial" w:cs="Arial"/>
                <w:sz w:val="20"/>
                <w:szCs w:val="20"/>
              </w:rPr>
              <w:t>X</w:t>
            </w:r>
          </w:p>
        </w:tc>
        <w:tc>
          <w:tcPr>
            <w:tcW w:w="1550" w:type="dxa"/>
            <w:vAlign w:val="center"/>
          </w:tcPr>
          <w:p w14:paraId="5AD3C960" w14:textId="77777777" w:rsidR="00A31738" w:rsidRPr="00CD79B5" w:rsidRDefault="00A31738" w:rsidP="00017963">
            <w:pPr>
              <w:keepNext/>
              <w:keepLines/>
              <w:jc w:val="center"/>
              <w:rPr>
                <w:rFonts w:ascii="Arial" w:hAnsi="Arial" w:cs="Arial"/>
                <w:sz w:val="20"/>
                <w:szCs w:val="20"/>
              </w:rPr>
            </w:pPr>
          </w:p>
        </w:tc>
      </w:tr>
      <w:tr w:rsidR="00C22AD9" w14:paraId="58347FF8" w14:textId="77777777" w:rsidTr="00017963">
        <w:trPr>
          <w:cantSplit/>
        </w:trPr>
        <w:tc>
          <w:tcPr>
            <w:tcW w:w="1165" w:type="dxa"/>
          </w:tcPr>
          <w:p w14:paraId="135D9545" w14:textId="289F0AAF" w:rsidR="00C22AD9" w:rsidRPr="00CD79B5" w:rsidRDefault="00017963" w:rsidP="00C22AD9">
            <w:pPr>
              <w:keepNext/>
              <w:keepLines/>
              <w:rPr>
                <w:rFonts w:ascii="Arial" w:hAnsi="Arial" w:cs="Arial"/>
                <w:sz w:val="20"/>
                <w:szCs w:val="20"/>
              </w:rPr>
            </w:pPr>
            <w:r>
              <w:rPr>
                <w:rFonts w:ascii="Arial" w:hAnsi="Arial" w:cs="Arial"/>
                <w:sz w:val="20"/>
                <w:szCs w:val="20"/>
              </w:rPr>
              <w:t>.</w:t>
            </w:r>
            <w:r w:rsidR="00C22AD9">
              <w:rPr>
                <w:rFonts w:ascii="Arial" w:hAnsi="Arial" w:cs="Arial"/>
                <w:sz w:val="20"/>
                <w:szCs w:val="20"/>
              </w:rPr>
              <w:t>107</w:t>
            </w:r>
          </w:p>
        </w:tc>
        <w:tc>
          <w:tcPr>
            <w:tcW w:w="5085" w:type="dxa"/>
          </w:tcPr>
          <w:p w14:paraId="08343270" w14:textId="77777777" w:rsidR="00C22AD9" w:rsidRPr="00C22AD9" w:rsidRDefault="00C22AD9" w:rsidP="00C22AD9">
            <w:pPr>
              <w:keepNext/>
              <w:keepLines/>
              <w:rPr>
                <w:rFonts w:ascii="Arial" w:hAnsi="Arial" w:cs="Arial"/>
                <w:sz w:val="20"/>
                <w:szCs w:val="20"/>
              </w:rPr>
            </w:pPr>
          </w:p>
        </w:tc>
        <w:tc>
          <w:tcPr>
            <w:tcW w:w="1550" w:type="dxa"/>
            <w:vAlign w:val="center"/>
          </w:tcPr>
          <w:p w14:paraId="557FB945" w14:textId="64B2B6DA" w:rsidR="00C22AD9" w:rsidRPr="00CD79B5" w:rsidRDefault="00C22AD9" w:rsidP="00017963">
            <w:pPr>
              <w:keepNext/>
              <w:keepLines/>
              <w:jc w:val="center"/>
              <w:rPr>
                <w:rFonts w:ascii="Arial" w:hAnsi="Arial" w:cs="Arial"/>
                <w:sz w:val="20"/>
                <w:szCs w:val="20"/>
              </w:rPr>
            </w:pPr>
            <w:r w:rsidRPr="00097ACC">
              <w:rPr>
                <w:rFonts w:ascii="Arial" w:hAnsi="Arial" w:cs="Arial"/>
                <w:sz w:val="20"/>
                <w:szCs w:val="20"/>
              </w:rPr>
              <w:t>X</w:t>
            </w:r>
          </w:p>
        </w:tc>
        <w:tc>
          <w:tcPr>
            <w:tcW w:w="1550" w:type="dxa"/>
            <w:vAlign w:val="center"/>
          </w:tcPr>
          <w:p w14:paraId="1FF369F4" w14:textId="77777777" w:rsidR="00C22AD9" w:rsidRPr="00CD79B5" w:rsidRDefault="00C22AD9" w:rsidP="00017963">
            <w:pPr>
              <w:keepNext/>
              <w:keepLines/>
              <w:jc w:val="center"/>
              <w:rPr>
                <w:rFonts w:ascii="Arial" w:hAnsi="Arial" w:cs="Arial"/>
                <w:sz w:val="20"/>
                <w:szCs w:val="20"/>
              </w:rPr>
            </w:pPr>
          </w:p>
        </w:tc>
      </w:tr>
      <w:tr w:rsidR="00C22AD9" w14:paraId="74824F58" w14:textId="77777777" w:rsidTr="00017963">
        <w:trPr>
          <w:cantSplit/>
        </w:trPr>
        <w:tc>
          <w:tcPr>
            <w:tcW w:w="1165" w:type="dxa"/>
          </w:tcPr>
          <w:p w14:paraId="5B7E0C50" w14:textId="086A6BD1" w:rsidR="00C22AD9" w:rsidRPr="00CD79B5" w:rsidRDefault="00017963" w:rsidP="00C22AD9">
            <w:pPr>
              <w:keepNext/>
              <w:keepLines/>
              <w:rPr>
                <w:rFonts w:ascii="Arial" w:hAnsi="Arial" w:cs="Arial"/>
                <w:sz w:val="20"/>
                <w:szCs w:val="20"/>
              </w:rPr>
            </w:pPr>
            <w:r>
              <w:rPr>
                <w:rFonts w:ascii="Arial" w:hAnsi="Arial" w:cs="Arial"/>
                <w:sz w:val="20"/>
                <w:szCs w:val="20"/>
              </w:rPr>
              <w:t>.</w:t>
            </w:r>
            <w:r w:rsidR="00C22AD9">
              <w:rPr>
                <w:rFonts w:ascii="Arial" w:hAnsi="Arial" w:cs="Arial"/>
                <w:sz w:val="20"/>
                <w:szCs w:val="20"/>
              </w:rPr>
              <w:t>108</w:t>
            </w:r>
          </w:p>
        </w:tc>
        <w:tc>
          <w:tcPr>
            <w:tcW w:w="5085" w:type="dxa"/>
          </w:tcPr>
          <w:p w14:paraId="0DAB31DB" w14:textId="77777777" w:rsidR="00C22AD9" w:rsidRPr="00C22AD9" w:rsidRDefault="00C22AD9" w:rsidP="00C22AD9">
            <w:pPr>
              <w:keepNext/>
              <w:keepLines/>
              <w:rPr>
                <w:rFonts w:ascii="Arial" w:hAnsi="Arial" w:cs="Arial"/>
                <w:sz w:val="20"/>
                <w:szCs w:val="20"/>
              </w:rPr>
            </w:pPr>
          </w:p>
        </w:tc>
        <w:tc>
          <w:tcPr>
            <w:tcW w:w="1550" w:type="dxa"/>
            <w:vAlign w:val="center"/>
          </w:tcPr>
          <w:p w14:paraId="7BA45B66" w14:textId="371DC32E" w:rsidR="00C22AD9" w:rsidRPr="00CD79B5" w:rsidRDefault="00C22AD9" w:rsidP="00017963">
            <w:pPr>
              <w:keepNext/>
              <w:keepLines/>
              <w:jc w:val="center"/>
              <w:rPr>
                <w:rFonts w:ascii="Arial" w:hAnsi="Arial" w:cs="Arial"/>
                <w:sz w:val="20"/>
                <w:szCs w:val="20"/>
              </w:rPr>
            </w:pPr>
            <w:r w:rsidRPr="00097ACC">
              <w:rPr>
                <w:rFonts w:ascii="Arial" w:hAnsi="Arial" w:cs="Arial"/>
                <w:sz w:val="20"/>
                <w:szCs w:val="20"/>
              </w:rPr>
              <w:t>X</w:t>
            </w:r>
          </w:p>
        </w:tc>
        <w:tc>
          <w:tcPr>
            <w:tcW w:w="1550" w:type="dxa"/>
            <w:vAlign w:val="center"/>
          </w:tcPr>
          <w:p w14:paraId="6B5344C6" w14:textId="77777777" w:rsidR="00C22AD9" w:rsidRPr="00CD79B5" w:rsidRDefault="00C22AD9" w:rsidP="00017963">
            <w:pPr>
              <w:keepNext/>
              <w:keepLines/>
              <w:jc w:val="center"/>
              <w:rPr>
                <w:rFonts w:ascii="Arial" w:hAnsi="Arial" w:cs="Arial"/>
                <w:sz w:val="20"/>
                <w:szCs w:val="20"/>
              </w:rPr>
            </w:pPr>
          </w:p>
        </w:tc>
      </w:tr>
      <w:tr w:rsidR="00A31738" w14:paraId="61FC68DA" w14:textId="77777777" w:rsidTr="00017963">
        <w:trPr>
          <w:cantSplit/>
        </w:trPr>
        <w:tc>
          <w:tcPr>
            <w:tcW w:w="1165" w:type="dxa"/>
          </w:tcPr>
          <w:p w14:paraId="24D3366D" w14:textId="032EA310" w:rsidR="00A31738" w:rsidRPr="00CD79B5" w:rsidRDefault="00017963" w:rsidP="00CD79B5">
            <w:pPr>
              <w:keepNext/>
              <w:keepLines/>
              <w:rPr>
                <w:rFonts w:ascii="Arial" w:hAnsi="Arial" w:cs="Arial"/>
                <w:sz w:val="20"/>
                <w:szCs w:val="20"/>
              </w:rPr>
            </w:pPr>
            <w:r>
              <w:rPr>
                <w:rFonts w:ascii="Arial" w:hAnsi="Arial" w:cs="Arial"/>
                <w:sz w:val="20"/>
                <w:szCs w:val="20"/>
              </w:rPr>
              <w:t>.</w:t>
            </w:r>
            <w:r w:rsidR="00A31738" w:rsidRPr="00CD79B5">
              <w:rPr>
                <w:rFonts w:ascii="Arial" w:hAnsi="Arial" w:cs="Arial"/>
                <w:sz w:val="20"/>
                <w:szCs w:val="20"/>
              </w:rPr>
              <w:t>109</w:t>
            </w:r>
          </w:p>
        </w:tc>
        <w:tc>
          <w:tcPr>
            <w:tcW w:w="5085" w:type="dxa"/>
          </w:tcPr>
          <w:p w14:paraId="55DBB981" w14:textId="48A11517" w:rsidR="00A31738" w:rsidRPr="00C22AD9" w:rsidRDefault="00A31738" w:rsidP="00C22AD9">
            <w:pPr>
              <w:pStyle w:val="ListParagraph"/>
              <w:keepNext/>
              <w:keepLines/>
              <w:numPr>
                <w:ilvl w:val="0"/>
                <w:numId w:val="15"/>
              </w:numPr>
              <w:ind w:left="360"/>
              <w:rPr>
                <w:rFonts w:ascii="Arial" w:hAnsi="Arial" w:cs="Arial"/>
                <w:sz w:val="20"/>
                <w:szCs w:val="20"/>
              </w:rPr>
            </w:pPr>
            <w:r w:rsidRPr="00C22AD9">
              <w:rPr>
                <w:rFonts w:ascii="Arial" w:hAnsi="Arial" w:cs="Arial"/>
                <w:sz w:val="20"/>
                <w:szCs w:val="20"/>
              </w:rPr>
              <w:t>Continuing review not required for certain categories of research</w:t>
            </w:r>
          </w:p>
        </w:tc>
        <w:tc>
          <w:tcPr>
            <w:tcW w:w="1550" w:type="dxa"/>
            <w:vAlign w:val="center"/>
          </w:tcPr>
          <w:p w14:paraId="696875C2" w14:textId="79620769" w:rsidR="00A31738" w:rsidRPr="00CD79B5" w:rsidRDefault="00A31738" w:rsidP="00017963">
            <w:pPr>
              <w:keepNext/>
              <w:keepLines/>
              <w:jc w:val="center"/>
              <w:rPr>
                <w:rFonts w:ascii="Arial" w:hAnsi="Arial" w:cs="Arial"/>
                <w:sz w:val="20"/>
                <w:szCs w:val="20"/>
              </w:rPr>
            </w:pPr>
            <w:r w:rsidRPr="00CD79B5">
              <w:rPr>
                <w:rFonts w:ascii="Arial" w:hAnsi="Arial" w:cs="Arial"/>
                <w:sz w:val="20"/>
                <w:szCs w:val="20"/>
              </w:rPr>
              <w:t>X</w:t>
            </w:r>
          </w:p>
        </w:tc>
        <w:tc>
          <w:tcPr>
            <w:tcW w:w="1550" w:type="dxa"/>
            <w:vAlign w:val="center"/>
          </w:tcPr>
          <w:p w14:paraId="677A82E5" w14:textId="77777777" w:rsidR="00A31738" w:rsidRPr="00CD79B5" w:rsidRDefault="00A31738" w:rsidP="00017963">
            <w:pPr>
              <w:keepNext/>
              <w:keepLines/>
              <w:jc w:val="center"/>
              <w:rPr>
                <w:rFonts w:ascii="Arial" w:hAnsi="Arial" w:cs="Arial"/>
                <w:sz w:val="20"/>
                <w:szCs w:val="20"/>
              </w:rPr>
            </w:pPr>
          </w:p>
        </w:tc>
      </w:tr>
      <w:tr w:rsidR="00A31738" w14:paraId="0E06B1A5" w14:textId="77777777" w:rsidTr="00017963">
        <w:trPr>
          <w:cantSplit/>
        </w:trPr>
        <w:tc>
          <w:tcPr>
            <w:tcW w:w="1165" w:type="dxa"/>
          </w:tcPr>
          <w:p w14:paraId="2B4F4EFC" w14:textId="35E91375" w:rsidR="00A31738" w:rsidRPr="00CD79B5" w:rsidRDefault="00017963" w:rsidP="00CD79B5">
            <w:pPr>
              <w:keepNext/>
              <w:keepLines/>
              <w:rPr>
                <w:rFonts w:ascii="Arial" w:hAnsi="Arial" w:cs="Arial"/>
                <w:sz w:val="20"/>
                <w:szCs w:val="20"/>
              </w:rPr>
            </w:pPr>
            <w:r>
              <w:rPr>
                <w:rFonts w:ascii="Arial" w:hAnsi="Arial" w:cs="Arial"/>
                <w:sz w:val="20"/>
                <w:szCs w:val="20"/>
              </w:rPr>
              <w:t>.</w:t>
            </w:r>
            <w:r w:rsidR="00A31738" w:rsidRPr="00CD79B5">
              <w:rPr>
                <w:rFonts w:ascii="Arial" w:hAnsi="Arial" w:cs="Arial"/>
                <w:sz w:val="20"/>
                <w:szCs w:val="20"/>
              </w:rPr>
              <w:t>110</w:t>
            </w:r>
          </w:p>
        </w:tc>
        <w:tc>
          <w:tcPr>
            <w:tcW w:w="5085" w:type="dxa"/>
          </w:tcPr>
          <w:p w14:paraId="1C95E095" w14:textId="5D932443" w:rsidR="00A31738" w:rsidRPr="00C22AD9" w:rsidRDefault="00A31738" w:rsidP="00C22AD9">
            <w:pPr>
              <w:pStyle w:val="ListParagraph"/>
              <w:keepNext/>
              <w:keepLines/>
              <w:numPr>
                <w:ilvl w:val="0"/>
                <w:numId w:val="15"/>
              </w:numPr>
              <w:ind w:left="360"/>
              <w:rPr>
                <w:rFonts w:ascii="Arial" w:hAnsi="Arial" w:cs="Arial"/>
                <w:sz w:val="20"/>
                <w:szCs w:val="20"/>
              </w:rPr>
            </w:pPr>
            <w:r w:rsidRPr="00C22AD9">
              <w:rPr>
                <w:rFonts w:ascii="Arial" w:hAnsi="Arial" w:cs="Arial"/>
                <w:sz w:val="20"/>
                <w:szCs w:val="20"/>
              </w:rPr>
              <w:t>Requirement to document rationale for determining that research falling into expedited categories is not minimal risk.</w:t>
            </w:r>
          </w:p>
        </w:tc>
        <w:tc>
          <w:tcPr>
            <w:tcW w:w="1550" w:type="dxa"/>
            <w:vAlign w:val="center"/>
          </w:tcPr>
          <w:p w14:paraId="3CD56F19" w14:textId="70E313D3" w:rsidR="00A31738" w:rsidRPr="00CD79B5" w:rsidRDefault="00A31738" w:rsidP="00017963">
            <w:pPr>
              <w:keepNext/>
              <w:keepLines/>
              <w:jc w:val="center"/>
              <w:rPr>
                <w:rFonts w:ascii="Arial" w:hAnsi="Arial" w:cs="Arial"/>
                <w:sz w:val="20"/>
                <w:szCs w:val="20"/>
              </w:rPr>
            </w:pPr>
          </w:p>
        </w:tc>
        <w:tc>
          <w:tcPr>
            <w:tcW w:w="1550" w:type="dxa"/>
            <w:vAlign w:val="center"/>
          </w:tcPr>
          <w:p w14:paraId="6313EA0C" w14:textId="527C7EA9" w:rsidR="00A31738" w:rsidRPr="00CD79B5" w:rsidRDefault="00A31738" w:rsidP="00017963">
            <w:pPr>
              <w:keepNext/>
              <w:keepLines/>
              <w:jc w:val="center"/>
              <w:rPr>
                <w:rFonts w:ascii="Arial" w:hAnsi="Arial" w:cs="Arial"/>
                <w:sz w:val="20"/>
                <w:szCs w:val="20"/>
              </w:rPr>
            </w:pPr>
            <w:r w:rsidRPr="00CD79B5">
              <w:rPr>
                <w:rFonts w:ascii="Arial" w:hAnsi="Arial" w:cs="Arial"/>
                <w:sz w:val="20"/>
                <w:szCs w:val="20"/>
              </w:rPr>
              <w:t>X</w:t>
            </w:r>
          </w:p>
        </w:tc>
      </w:tr>
      <w:tr w:rsidR="00C22AD9" w14:paraId="713F7321" w14:textId="77777777" w:rsidTr="00017963">
        <w:trPr>
          <w:cantSplit/>
        </w:trPr>
        <w:tc>
          <w:tcPr>
            <w:tcW w:w="1165" w:type="dxa"/>
          </w:tcPr>
          <w:p w14:paraId="43C70A1C" w14:textId="0B51EB2C" w:rsidR="00C22AD9" w:rsidRPr="00CD79B5" w:rsidRDefault="00017963" w:rsidP="00C22AD9">
            <w:pPr>
              <w:keepNext/>
              <w:keepLines/>
              <w:rPr>
                <w:rFonts w:ascii="Arial" w:hAnsi="Arial" w:cs="Arial"/>
                <w:sz w:val="20"/>
                <w:szCs w:val="20"/>
              </w:rPr>
            </w:pPr>
            <w:r>
              <w:rPr>
                <w:rFonts w:ascii="Arial" w:hAnsi="Arial" w:cs="Arial"/>
                <w:sz w:val="20"/>
                <w:szCs w:val="20"/>
              </w:rPr>
              <w:t>.</w:t>
            </w:r>
            <w:r w:rsidR="00C22AD9" w:rsidRPr="00CD79B5">
              <w:rPr>
                <w:rFonts w:ascii="Arial" w:hAnsi="Arial" w:cs="Arial"/>
                <w:sz w:val="20"/>
                <w:szCs w:val="20"/>
              </w:rPr>
              <w:t>110</w:t>
            </w:r>
            <w:r w:rsidR="00C22AD9">
              <w:rPr>
                <w:rFonts w:ascii="Arial" w:hAnsi="Arial" w:cs="Arial"/>
                <w:sz w:val="20"/>
                <w:szCs w:val="20"/>
              </w:rPr>
              <w:t>-113</w:t>
            </w:r>
          </w:p>
        </w:tc>
        <w:tc>
          <w:tcPr>
            <w:tcW w:w="5085" w:type="dxa"/>
          </w:tcPr>
          <w:p w14:paraId="45DB9FC6" w14:textId="77777777" w:rsidR="00C22AD9" w:rsidRPr="00C22AD9" w:rsidRDefault="00C22AD9" w:rsidP="00C22AD9">
            <w:pPr>
              <w:keepNext/>
              <w:keepLines/>
              <w:rPr>
                <w:rFonts w:ascii="Arial" w:hAnsi="Arial" w:cs="Arial"/>
                <w:sz w:val="20"/>
                <w:szCs w:val="20"/>
              </w:rPr>
            </w:pPr>
          </w:p>
        </w:tc>
        <w:tc>
          <w:tcPr>
            <w:tcW w:w="1550" w:type="dxa"/>
            <w:vAlign w:val="center"/>
          </w:tcPr>
          <w:p w14:paraId="158D5356" w14:textId="669EC9A1" w:rsidR="00C22AD9" w:rsidRPr="00CD79B5" w:rsidRDefault="00C22AD9" w:rsidP="00017963">
            <w:pPr>
              <w:keepNext/>
              <w:keepLines/>
              <w:jc w:val="center"/>
              <w:rPr>
                <w:rFonts w:ascii="Arial" w:hAnsi="Arial" w:cs="Arial"/>
                <w:sz w:val="20"/>
                <w:szCs w:val="20"/>
              </w:rPr>
            </w:pPr>
            <w:r w:rsidRPr="00CD79B5">
              <w:rPr>
                <w:rFonts w:ascii="Arial" w:hAnsi="Arial" w:cs="Arial"/>
                <w:sz w:val="20"/>
                <w:szCs w:val="20"/>
              </w:rPr>
              <w:t>X</w:t>
            </w:r>
          </w:p>
        </w:tc>
        <w:tc>
          <w:tcPr>
            <w:tcW w:w="1550" w:type="dxa"/>
            <w:vAlign w:val="center"/>
          </w:tcPr>
          <w:p w14:paraId="69C2CD00" w14:textId="77777777" w:rsidR="00C22AD9" w:rsidRPr="00CD79B5" w:rsidRDefault="00C22AD9" w:rsidP="00017963">
            <w:pPr>
              <w:keepNext/>
              <w:keepLines/>
              <w:jc w:val="center"/>
              <w:rPr>
                <w:rFonts w:ascii="Arial" w:hAnsi="Arial" w:cs="Arial"/>
                <w:sz w:val="20"/>
                <w:szCs w:val="20"/>
              </w:rPr>
            </w:pPr>
          </w:p>
        </w:tc>
      </w:tr>
      <w:tr w:rsidR="00C22AD9" w14:paraId="069D78E4" w14:textId="77777777" w:rsidTr="00017963">
        <w:trPr>
          <w:cantSplit/>
        </w:trPr>
        <w:tc>
          <w:tcPr>
            <w:tcW w:w="1165" w:type="dxa"/>
          </w:tcPr>
          <w:p w14:paraId="7DEA74A4" w14:textId="7FA07338" w:rsidR="00C22AD9" w:rsidRPr="00CD79B5" w:rsidRDefault="00017963" w:rsidP="00C22AD9">
            <w:pPr>
              <w:keepNext/>
              <w:keepLines/>
              <w:rPr>
                <w:rFonts w:ascii="Arial" w:hAnsi="Arial" w:cs="Arial"/>
                <w:sz w:val="20"/>
                <w:szCs w:val="20"/>
              </w:rPr>
            </w:pPr>
            <w:r>
              <w:rPr>
                <w:rFonts w:ascii="Arial" w:hAnsi="Arial" w:cs="Arial"/>
                <w:sz w:val="20"/>
                <w:szCs w:val="20"/>
              </w:rPr>
              <w:t>.</w:t>
            </w:r>
            <w:r w:rsidR="00C22AD9" w:rsidRPr="00CD79B5">
              <w:rPr>
                <w:rFonts w:ascii="Arial" w:hAnsi="Arial" w:cs="Arial"/>
                <w:sz w:val="20"/>
                <w:szCs w:val="20"/>
              </w:rPr>
              <w:t>114</w:t>
            </w:r>
          </w:p>
        </w:tc>
        <w:tc>
          <w:tcPr>
            <w:tcW w:w="5085" w:type="dxa"/>
          </w:tcPr>
          <w:p w14:paraId="2689ACEB" w14:textId="7DEEDA36" w:rsidR="00C22AD9" w:rsidRPr="00C22AD9" w:rsidRDefault="00C22AD9" w:rsidP="00C22AD9">
            <w:pPr>
              <w:pStyle w:val="ListParagraph"/>
              <w:keepNext/>
              <w:keepLines/>
              <w:numPr>
                <w:ilvl w:val="0"/>
                <w:numId w:val="15"/>
              </w:numPr>
              <w:ind w:left="360"/>
              <w:rPr>
                <w:rFonts w:ascii="Arial" w:hAnsi="Arial" w:cs="Arial"/>
                <w:sz w:val="20"/>
                <w:szCs w:val="20"/>
              </w:rPr>
            </w:pPr>
            <w:r w:rsidRPr="00C22AD9">
              <w:rPr>
                <w:rFonts w:ascii="Arial" w:hAnsi="Arial" w:cs="Arial"/>
                <w:sz w:val="20"/>
                <w:szCs w:val="20"/>
              </w:rPr>
              <w:t>Requirement for single IRB review</w:t>
            </w:r>
          </w:p>
        </w:tc>
        <w:tc>
          <w:tcPr>
            <w:tcW w:w="1550" w:type="dxa"/>
            <w:vAlign w:val="center"/>
          </w:tcPr>
          <w:p w14:paraId="0ABB783C" w14:textId="65B4B5CE" w:rsidR="00C22AD9" w:rsidRPr="00CD79B5" w:rsidRDefault="00C22AD9" w:rsidP="00017963">
            <w:pPr>
              <w:keepNext/>
              <w:keepLines/>
              <w:jc w:val="center"/>
              <w:rPr>
                <w:rFonts w:ascii="Arial" w:hAnsi="Arial" w:cs="Arial"/>
                <w:sz w:val="20"/>
                <w:szCs w:val="20"/>
              </w:rPr>
            </w:pPr>
          </w:p>
        </w:tc>
        <w:tc>
          <w:tcPr>
            <w:tcW w:w="1550" w:type="dxa"/>
            <w:vAlign w:val="center"/>
          </w:tcPr>
          <w:p w14:paraId="55004680" w14:textId="60AF84EA" w:rsidR="00C22AD9" w:rsidRPr="00CD79B5" w:rsidRDefault="00C22AD9" w:rsidP="00017963">
            <w:pPr>
              <w:keepNext/>
              <w:keepLines/>
              <w:jc w:val="center"/>
              <w:rPr>
                <w:rFonts w:ascii="Arial" w:hAnsi="Arial" w:cs="Arial"/>
                <w:sz w:val="20"/>
                <w:szCs w:val="20"/>
              </w:rPr>
            </w:pPr>
            <w:r w:rsidRPr="00CD79B5">
              <w:rPr>
                <w:rFonts w:ascii="Arial" w:hAnsi="Arial" w:cs="Arial"/>
                <w:sz w:val="20"/>
                <w:szCs w:val="20"/>
              </w:rPr>
              <w:t>X</w:t>
            </w:r>
          </w:p>
        </w:tc>
      </w:tr>
      <w:tr w:rsidR="00C22AD9" w14:paraId="250A0E82" w14:textId="77777777" w:rsidTr="00017963">
        <w:trPr>
          <w:cantSplit/>
        </w:trPr>
        <w:tc>
          <w:tcPr>
            <w:tcW w:w="1165" w:type="dxa"/>
          </w:tcPr>
          <w:p w14:paraId="31D9ADE8" w14:textId="14BD55C0" w:rsidR="00C22AD9" w:rsidRPr="00CD79B5" w:rsidRDefault="00017963" w:rsidP="00C22AD9">
            <w:pPr>
              <w:keepNext/>
              <w:keepLines/>
              <w:rPr>
                <w:rFonts w:ascii="Arial" w:hAnsi="Arial" w:cs="Arial"/>
                <w:sz w:val="20"/>
                <w:szCs w:val="20"/>
              </w:rPr>
            </w:pPr>
            <w:r>
              <w:rPr>
                <w:rFonts w:ascii="Arial" w:hAnsi="Arial" w:cs="Arial"/>
                <w:sz w:val="20"/>
                <w:szCs w:val="20"/>
              </w:rPr>
              <w:t>.</w:t>
            </w:r>
            <w:r w:rsidR="00C22AD9" w:rsidRPr="00CD79B5">
              <w:rPr>
                <w:rFonts w:ascii="Arial" w:hAnsi="Arial" w:cs="Arial"/>
                <w:sz w:val="20"/>
                <w:szCs w:val="20"/>
              </w:rPr>
              <w:t>115</w:t>
            </w:r>
          </w:p>
        </w:tc>
        <w:tc>
          <w:tcPr>
            <w:tcW w:w="5085" w:type="dxa"/>
          </w:tcPr>
          <w:p w14:paraId="6644E0EA" w14:textId="03C73717" w:rsidR="00C22AD9" w:rsidRDefault="00C22AD9" w:rsidP="00C22AD9">
            <w:pPr>
              <w:pStyle w:val="ListParagraph"/>
              <w:keepNext/>
              <w:keepLines/>
              <w:numPr>
                <w:ilvl w:val="0"/>
                <w:numId w:val="15"/>
              </w:numPr>
              <w:ind w:left="360"/>
              <w:rPr>
                <w:rFonts w:ascii="Arial" w:hAnsi="Arial" w:cs="Arial"/>
                <w:sz w:val="20"/>
                <w:szCs w:val="20"/>
              </w:rPr>
            </w:pPr>
            <w:r w:rsidRPr="00C22AD9">
              <w:rPr>
                <w:rFonts w:ascii="Arial" w:hAnsi="Arial" w:cs="Arial"/>
                <w:sz w:val="20"/>
                <w:szCs w:val="20"/>
              </w:rPr>
              <w:t xml:space="preserve">Requirement </w:t>
            </w:r>
            <w:r>
              <w:rPr>
                <w:rFonts w:ascii="Arial" w:hAnsi="Arial" w:cs="Arial"/>
                <w:sz w:val="20"/>
                <w:szCs w:val="20"/>
              </w:rPr>
              <w:t>that r</w:t>
            </w:r>
            <w:r w:rsidRPr="00C22AD9">
              <w:rPr>
                <w:rFonts w:ascii="Arial" w:hAnsi="Arial" w:cs="Arial"/>
                <w:sz w:val="20"/>
                <w:szCs w:val="20"/>
              </w:rPr>
              <w:t>ecords must document the rationale for an expedited reviewer’s determination that research appearing on the expedited review</w:t>
            </w:r>
            <w:r w:rsidR="008C0621">
              <w:rPr>
                <w:rFonts w:ascii="Arial" w:hAnsi="Arial" w:cs="Arial"/>
                <w:sz w:val="20"/>
                <w:szCs w:val="20"/>
              </w:rPr>
              <w:t xml:space="preserve"> list is more than minimal risk</w:t>
            </w:r>
          </w:p>
          <w:p w14:paraId="06F16225" w14:textId="0E0D1940" w:rsidR="008C0621" w:rsidRPr="00C22AD9" w:rsidRDefault="008C0621" w:rsidP="00C22AD9">
            <w:pPr>
              <w:pStyle w:val="ListParagraph"/>
              <w:keepNext/>
              <w:keepLines/>
              <w:numPr>
                <w:ilvl w:val="0"/>
                <w:numId w:val="15"/>
              </w:numPr>
              <w:ind w:left="360"/>
              <w:rPr>
                <w:rFonts w:ascii="Arial" w:hAnsi="Arial" w:cs="Arial"/>
                <w:sz w:val="20"/>
                <w:szCs w:val="20"/>
              </w:rPr>
            </w:pPr>
            <w:r>
              <w:rPr>
                <w:rFonts w:ascii="Arial" w:hAnsi="Arial" w:cs="Arial"/>
                <w:sz w:val="20"/>
                <w:szCs w:val="20"/>
              </w:rPr>
              <w:t>Requirement that records must document the rationale for continuing review of research where continuing review is not a requirement</w:t>
            </w:r>
          </w:p>
        </w:tc>
        <w:tc>
          <w:tcPr>
            <w:tcW w:w="1550" w:type="dxa"/>
            <w:vAlign w:val="center"/>
          </w:tcPr>
          <w:p w14:paraId="754ED624" w14:textId="05FBB799" w:rsidR="00C22AD9" w:rsidRPr="00CD79B5" w:rsidRDefault="00C22AD9" w:rsidP="00017963">
            <w:pPr>
              <w:keepNext/>
              <w:keepLines/>
              <w:jc w:val="center"/>
              <w:rPr>
                <w:rFonts w:ascii="Arial" w:hAnsi="Arial" w:cs="Arial"/>
                <w:sz w:val="20"/>
                <w:szCs w:val="20"/>
              </w:rPr>
            </w:pPr>
          </w:p>
        </w:tc>
        <w:tc>
          <w:tcPr>
            <w:tcW w:w="1550" w:type="dxa"/>
            <w:vAlign w:val="center"/>
          </w:tcPr>
          <w:p w14:paraId="6C7A25D3" w14:textId="24BF170A" w:rsidR="00C22AD9" w:rsidRPr="00CD79B5" w:rsidRDefault="00C22AD9" w:rsidP="00017963">
            <w:pPr>
              <w:keepNext/>
              <w:keepLines/>
              <w:jc w:val="center"/>
              <w:rPr>
                <w:rFonts w:ascii="Arial" w:hAnsi="Arial" w:cs="Arial"/>
                <w:sz w:val="20"/>
                <w:szCs w:val="20"/>
              </w:rPr>
            </w:pPr>
            <w:r w:rsidRPr="00CD79B5">
              <w:rPr>
                <w:rFonts w:ascii="Arial" w:hAnsi="Arial" w:cs="Arial"/>
                <w:sz w:val="20"/>
                <w:szCs w:val="20"/>
              </w:rPr>
              <w:t>X</w:t>
            </w:r>
          </w:p>
        </w:tc>
      </w:tr>
      <w:tr w:rsidR="00C22AD9" w14:paraId="5C9B99F4" w14:textId="77777777" w:rsidTr="00017963">
        <w:trPr>
          <w:cantSplit/>
        </w:trPr>
        <w:tc>
          <w:tcPr>
            <w:tcW w:w="1165" w:type="dxa"/>
          </w:tcPr>
          <w:p w14:paraId="0DDB58A3" w14:textId="1F3FB551" w:rsidR="00C22AD9" w:rsidRPr="00CD79B5" w:rsidRDefault="00017963" w:rsidP="00C22AD9">
            <w:pPr>
              <w:keepNext/>
              <w:keepLines/>
              <w:rPr>
                <w:rFonts w:ascii="Arial" w:hAnsi="Arial" w:cs="Arial"/>
                <w:sz w:val="20"/>
                <w:szCs w:val="20"/>
              </w:rPr>
            </w:pPr>
            <w:r>
              <w:rPr>
                <w:rFonts w:ascii="Arial" w:hAnsi="Arial" w:cs="Arial"/>
                <w:sz w:val="20"/>
                <w:szCs w:val="20"/>
              </w:rPr>
              <w:t>.</w:t>
            </w:r>
            <w:r w:rsidR="00C22AD9" w:rsidRPr="00CD79B5">
              <w:rPr>
                <w:rFonts w:ascii="Arial" w:hAnsi="Arial" w:cs="Arial"/>
                <w:sz w:val="20"/>
                <w:szCs w:val="20"/>
              </w:rPr>
              <w:t>115</w:t>
            </w:r>
          </w:p>
        </w:tc>
        <w:tc>
          <w:tcPr>
            <w:tcW w:w="5085" w:type="dxa"/>
          </w:tcPr>
          <w:p w14:paraId="32E41CAA" w14:textId="39EBE239" w:rsidR="00C22AD9" w:rsidRPr="00C22AD9" w:rsidRDefault="00C22AD9" w:rsidP="00C22AD9">
            <w:pPr>
              <w:pStyle w:val="ListParagraph"/>
              <w:keepNext/>
              <w:keepLines/>
              <w:numPr>
                <w:ilvl w:val="0"/>
                <w:numId w:val="15"/>
              </w:numPr>
              <w:ind w:left="360"/>
              <w:rPr>
                <w:rFonts w:ascii="Arial" w:hAnsi="Arial" w:cs="Arial"/>
                <w:sz w:val="20"/>
                <w:szCs w:val="20"/>
              </w:rPr>
            </w:pPr>
            <w:r w:rsidRPr="00C22AD9">
              <w:rPr>
                <w:rFonts w:ascii="Arial" w:hAnsi="Arial" w:cs="Arial"/>
                <w:sz w:val="20"/>
                <w:szCs w:val="20"/>
              </w:rPr>
              <w:t>Records must include reliance agreements or policies.</w:t>
            </w:r>
          </w:p>
        </w:tc>
        <w:tc>
          <w:tcPr>
            <w:tcW w:w="1550" w:type="dxa"/>
            <w:vAlign w:val="center"/>
          </w:tcPr>
          <w:p w14:paraId="742C691E" w14:textId="29527029" w:rsidR="00C22AD9" w:rsidRPr="00CD79B5" w:rsidRDefault="00C22AD9" w:rsidP="00017963">
            <w:pPr>
              <w:keepNext/>
              <w:keepLines/>
              <w:jc w:val="center"/>
              <w:rPr>
                <w:rFonts w:ascii="Arial" w:hAnsi="Arial" w:cs="Arial"/>
                <w:sz w:val="20"/>
                <w:szCs w:val="20"/>
              </w:rPr>
            </w:pPr>
            <w:r w:rsidRPr="00CD79B5">
              <w:rPr>
                <w:rFonts w:ascii="Arial" w:hAnsi="Arial" w:cs="Arial"/>
                <w:sz w:val="20"/>
                <w:szCs w:val="20"/>
              </w:rPr>
              <w:t>X</w:t>
            </w:r>
          </w:p>
        </w:tc>
        <w:tc>
          <w:tcPr>
            <w:tcW w:w="1550" w:type="dxa"/>
            <w:vAlign w:val="center"/>
          </w:tcPr>
          <w:p w14:paraId="66C9890D" w14:textId="5AA5AB5C" w:rsidR="00C22AD9" w:rsidRPr="00CD79B5" w:rsidRDefault="00C22AD9" w:rsidP="00017963">
            <w:pPr>
              <w:keepNext/>
              <w:keepLines/>
              <w:jc w:val="center"/>
              <w:rPr>
                <w:rFonts w:ascii="Arial" w:hAnsi="Arial" w:cs="Arial"/>
                <w:sz w:val="20"/>
                <w:szCs w:val="20"/>
              </w:rPr>
            </w:pPr>
          </w:p>
        </w:tc>
      </w:tr>
      <w:tr w:rsidR="00C22AD9" w14:paraId="07949F97" w14:textId="77777777" w:rsidTr="00017963">
        <w:trPr>
          <w:cantSplit/>
        </w:trPr>
        <w:tc>
          <w:tcPr>
            <w:tcW w:w="1165" w:type="dxa"/>
          </w:tcPr>
          <w:p w14:paraId="562D509B" w14:textId="00962E1C" w:rsidR="00C22AD9" w:rsidRPr="00CD79B5" w:rsidRDefault="00017963" w:rsidP="00C22AD9">
            <w:pPr>
              <w:keepNext/>
              <w:keepLines/>
              <w:rPr>
                <w:rFonts w:ascii="Arial" w:hAnsi="Arial" w:cs="Arial"/>
                <w:sz w:val="20"/>
                <w:szCs w:val="20"/>
              </w:rPr>
            </w:pPr>
            <w:r>
              <w:rPr>
                <w:rFonts w:ascii="Arial" w:hAnsi="Arial" w:cs="Arial"/>
                <w:sz w:val="20"/>
                <w:szCs w:val="20"/>
              </w:rPr>
              <w:t>.</w:t>
            </w:r>
            <w:r w:rsidR="00C22AD9" w:rsidRPr="00CD79B5">
              <w:rPr>
                <w:rFonts w:ascii="Arial" w:hAnsi="Arial" w:cs="Arial"/>
                <w:sz w:val="20"/>
                <w:szCs w:val="20"/>
              </w:rPr>
              <w:t>116</w:t>
            </w:r>
            <w:r w:rsidR="00C22AD9">
              <w:rPr>
                <w:rFonts w:ascii="Arial" w:hAnsi="Arial" w:cs="Arial"/>
                <w:sz w:val="20"/>
                <w:szCs w:val="20"/>
              </w:rPr>
              <w:t>(a)-(</w:t>
            </w:r>
            <w:r w:rsidR="006444C8">
              <w:rPr>
                <w:rFonts w:ascii="Arial" w:hAnsi="Arial" w:cs="Arial"/>
                <w:sz w:val="20"/>
                <w:szCs w:val="20"/>
              </w:rPr>
              <w:t>f</w:t>
            </w:r>
            <w:r w:rsidR="00C22AD9">
              <w:rPr>
                <w:rFonts w:ascii="Arial" w:hAnsi="Arial" w:cs="Arial"/>
                <w:sz w:val="20"/>
                <w:szCs w:val="20"/>
              </w:rPr>
              <w:t>)</w:t>
            </w:r>
          </w:p>
        </w:tc>
        <w:tc>
          <w:tcPr>
            <w:tcW w:w="5085" w:type="dxa"/>
          </w:tcPr>
          <w:p w14:paraId="761FBEA6" w14:textId="59450E55" w:rsidR="00C22AD9" w:rsidRPr="00C22AD9" w:rsidRDefault="00C22AD9" w:rsidP="00C22AD9">
            <w:pPr>
              <w:pStyle w:val="ListParagraph"/>
              <w:keepNext/>
              <w:keepLines/>
              <w:numPr>
                <w:ilvl w:val="0"/>
                <w:numId w:val="15"/>
              </w:numPr>
              <w:ind w:left="360"/>
              <w:rPr>
                <w:rFonts w:ascii="Arial" w:hAnsi="Arial" w:cs="Arial"/>
                <w:sz w:val="20"/>
                <w:szCs w:val="20"/>
              </w:rPr>
            </w:pPr>
            <w:r>
              <w:rPr>
                <w:rFonts w:ascii="Arial" w:hAnsi="Arial" w:cs="Arial"/>
                <w:sz w:val="20"/>
                <w:szCs w:val="20"/>
              </w:rPr>
              <w:t>Reasonable person standard</w:t>
            </w:r>
          </w:p>
          <w:p w14:paraId="3AE1E622" w14:textId="535BFAAB" w:rsidR="00C22AD9" w:rsidRPr="00C22AD9" w:rsidRDefault="00C22AD9" w:rsidP="00C22AD9">
            <w:pPr>
              <w:pStyle w:val="ListParagraph"/>
              <w:keepNext/>
              <w:keepLines/>
              <w:numPr>
                <w:ilvl w:val="0"/>
                <w:numId w:val="15"/>
              </w:numPr>
              <w:ind w:left="360"/>
              <w:rPr>
                <w:rFonts w:ascii="Arial" w:hAnsi="Arial" w:cs="Arial"/>
                <w:sz w:val="20"/>
                <w:szCs w:val="20"/>
              </w:rPr>
            </w:pPr>
            <w:r>
              <w:rPr>
                <w:rFonts w:ascii="Arial" w:hAnsi="Arial" w:cs="Arial"/>
                <w:sz w:val="20"/>
                <w:szCs w:val="20"/>
              </w:rPr>
              <w:t>Initial c</w:t>
            </w:r>
            <w:r w:rsidRPr="00C22AD9">
              <w:rPr>
                <w:rFonts w:ascii="Arial" w:hAnsi="Arial" w:cs="Arial"/>
                <w:sz w:val="20"/>
                <w:szCs w:val="20"/>
              </w:rPr>
              <w:t>oncise summary</w:t>
            </w:r>
          </w:p>
          <w:p w14:paraId="07467BB3" w14:textId="11016C2B" w:rsidR="00C22AD9" w:rsidRPr="00C22AD9" w:rsidRDefault="00C22AD9" w:rsidP="00C22AD9">
            <w:pPr>
              <w:pStyle w:val="ListParagraph"/>
              <w:keepNext/>
              <w:keepLines/>
              <w:numPr>
                <w:ilvl w:val="0"/>
                <w:numId w:val="15"/>
              </w:numPr>
              <w:ind w:left="360"/>
              <w:rPr>
                <w:rFonts w:ascii="Arial" w:hAnsi="Arial" w:cs="Arial"/>
                <w:sz w:val="20"/>
                <w:szCs w:val="20"/>
              </w:rPr>
            </w:pPr>
            <w:r>
              <w:rPr>
                <w:rFonts w:ascii="Arial" w:hAnsi="Arial" w:cs="Arial"/>
                <w:sz w:val="20"/>
                <w:szCs w:val="20"/>
              </w:rPr>
              <w:t>D</w:t>
            </w:r>
            <w:r w:rsidRPr="00C22AD9">
              <w:rPr>
                <w:rFonts w:ascii="Arial" w:hAnsi="Arial" w:cs="Arial"/>
                <w:sz w:val="20"/>
                <w:szCs w:val="20"/>
              </w:rPr>
              <w:t>isclosure of future research without identifiers</w:t>
            </w:r>
          </w:p>
          <w:p w14:paraId="466E6013" w14:textId="77777777" w:rsidR="00C22AD9" w:rsidRDefault="00C22AD9" w:rsidP="00C22AD9">
            <w:pPr>
              <w:pStyle w:val="ListParagraph"/>
              <w:keepNext/>
              <w:keepLines/>
              <w:numPr>
                <w:ilvl w:val="0"/>
                <w:numId w:val="15"/>
              </w:numPr>
              <w:ind w:left="360"/>
              <w:rPr>
                <w:rFonts w:ascii="Arial" w:hAnsi="Arial" w:cs="Arial"/>
                <w:sz w:val="20"/>
                <w:szCs w:val="20"/>
              </w:rPr>
            </w:pPr>
            <w:r>
              <w:rPr>
                <w:rFonts w:ascii="Arial" w:hAnsi="Arial" w:cs="Arial"/>
                <w:sz w:val="20"/>
                <w:szCs w:val="20"/>
              </w:rPr>
              <w:t>Disclose of</w:t>
            </w:r>
            <w:r w:rsidRPr="00C22AD9">
              <w:rPr>
                <w:rFonts w:ascii="Arial" w:hAnsi="Arial" w:cs="Arial"/>
                <w:sz w:val="20"/>
                <w:szCs w:val="20"/>
              </w:rPr>
              <w:t xml:space="preserve"> commercial profit</w:t>
            </w:r>
          </w:p>
          <w:p w14:paraId="26EFCE7A" w14:textId="77777777" w:rsidR="00C22AD9" w:rsidRDefault="00C22AD9" w:rsidP="00C22AD9">
            <w:pPr>
              <w:pStyle w:val="ListParagraph"/>
              <w:keepNext/>
              <w:keepLines/>
              <w:numPr>
                <w:ilvl w:val="0"/>
                <w:numId w:val="15"/>
              </w:numPr>
              <w:ind w:left="360"/>
              <w:rPr>
                <w:rFonts w:ascii="Arial" w:hAnsi="Arial" w:cs="Arial"/>
                <w:sz w:val="20"/>
                <w:szCs w:val="20"/>
              </w:rPr>
            </w:pPr>
            <w:r>
              <w:rPr>
                <w:rFonts w:ascii="Arial" w:hAnsi="Arial" w:cs="Arial"/>
                <w:sz w:val="20"/>
                <w:szCs w:val="20"/>
              </w:rPr>
              <w:t xml:space="preserve">Disclose of </w:t>
            </w:r>
            <w:r w:rsidRPr="00C22AD9">
              <w:rPr>
                <w:rFonts w:ascii="Arial" w:hAnsi="Arial" w:cs="Arial"/>
                <w:sz w:val="20"/>
                <w:szCs w:val="20"/>
              </w:rPr>
              <w:t>sharing of results</w:t>
            </w:r>
          </w:p>
          <w:p w14:paraId="4F0E67EF" w14:textId="77777777" w:rsidR="00C22AD9" w:rsidRDefault="00C22AD9" w:rsidP="00C22AD9">
            <w:pPr>
              <w:pStyle w:val="ListParagraph"/>
              <w:keepNext/>
              <w:keepLines/>
              <w:numPr>
                <w:ilvl w:val="0"/>
                <w:numId w:val="15"/>
              </w:numPr>
              <w:ind w:left="360"/>
              <w:rPr>
                <w:rFonts w:ascii="Arial" w:hAnsi="Arial" w:cs="Arial"/>
                <w:sz w:val="20"/>
                <w:szCs w:val="20"/>
              </w:rPr>
            </w:pPr>
            <w:r>
              <w:rPr>
                <w:rFonts w:ascii="Arial" w:hAnsi="Arial" w:cs="Arial"/>
                <w:sz w:val="20"/>
                <w:szCs w:val="20"/>
              </w:rPr>
              <w:t>Disclose of</w:t>
            </w:r>
            <w:r w:rsidRPr="00C22AD9">
              <w:rPr>
                <w:rFonts w:ascii="Arial" w:hAnsi="Arial" w:cs="Arial"/>
                <w:sz w:val="20"/>
                <w:szCs w:val="20"/>
              </w:rPr>
              <w:t xml:space="preserve"> whole genome sequencing</w:t>
            </w:r>
          </w:p>
          <w:p w14:paraId="237A359C" w14:textId="3D2BC4AB" w:rsidR="006444C8" w:rsidRPr="00C22AD9" w:rsidRDefault="006444C8" w:rsidP="006444C8">
            <w:pPr>
              <w:pStyle w:val="ListParagraph"/>
              <w:keepNext/>
              <w:keepLines/>
              <w:numPr>
                <w:ilvl w:val="0"/>
                <w:numId w:val="15"/>
              </w:numPr>
              <w:ind w:left="360"/>
              <w:rPr>
                <w:rFonts w:ascii="Arial" w:hAnsi="Arial" w:cs="Arial"/>
                <w:sz w:val="20"/>
                <w:szCs w:val="20"/>
              </w:rPr>
            </w:pPr>
            <w:r w:rsidRPr="00C22AD9">
              <w:rPr>
                <w:rFonts w:ascii="Arial" w:hAnsi="Arial" w:cs="Arial"/>
                <w:sz w:val="20"/>
                <w:szCs w:val="20"/>
              </w:rPr>
              <w:t>Revised criteria for waiver of consent</w:t>
            </w:r>
          </w:p>
        </w:tc>
        <w:tc>
          <w:tcPr>
            <w:tcW w:w="1550" w:type="dxa"/>
            <w:vAlign w:val="center"/>
          </w:tcPr>
          <w:p w14:paraId="22675959" w14:textId="7A1AEFFA" w:rsidR="00C22AD9" w:rsidRPr="00CD79B5" w:rsidRDefault="00C22AD9" w:rsidP="00017963">
            <w:pPr>
              <w:keepNext/>
              <w:keepLines/>
              <w:tabs>
                <w:tab w:val="left" w:pos="480"/>
                <w:tab w:val="center" w:pos="567"/>
              </w:tabs>
              <w:jc w:val="center"/>
              <w:rPr>
                <w:rFonts w:ascii="Arial" w:hAnsi="Arial" w:cs="Arial"/>
                <w:sz w:val="20"/>
                <w:szCs w:val="20"/>
              </w:rPr>
            </w:pPr>
          </w:p>
        </w:tc>
        <w:tc>
          <w:tcPr>
            <w:tcW w:w="1550" w:type="dxa"/>
            <w:vAlign w:val="center"/>
          </w:tcPr>
          <w:p w14:paraId="71DB5D3B" w14:textId="767553C3" w:rsidR="00C22AD9" w:rsidRPr="00CD79B5" w:rsidRDefault="00C22AD9" w:rsidP="00017963">
            <w:pPr>
              <w:keepNext/>
              <w:keepLines/>
              <w:jc w:val="center"/>
              <w:rPr>
                <w:rFonts w:ascii="Arial" w:hAnsi="Arial" w:cs="Arial"/>
                <w:sz w:val="20"/>
                <w:szCs w:val="20"/>
              </w:rPr>
            </w:pPr>
            <w:r w:rsidRPr="00CD79B5">
              <w:rPr>
                <w:rFonts w:ascii="Arial" w:hAnsi="Arial" w:cs="Arial"/>
                <w:sz w:val="20"/>
                <w:szCs w:val="20"/>
              </w:rPr>
              <w:t>X</w:t>
            </w:r>
          </w:p>
        </w:tc>
      </w:tr>
      <w:tr w:rsidR="00C22AD9" w14:paraId="0045EACD" w14:textId="77777777" w:rsidTr="00017963">
        <w:trPr>
          <w:cantSplit/>
        </w:trPr>
        <w:tc>
          <w:tcPr>
            <w:tcW w:w="1165" w:type="dxa"/>
          </w:tcPr>
          <w:p w14:paraId="00C6F608" w14:textId="1157A5E2" w:rsidR="00C22AD9" w:rsidRPr="00CD79B5" w:rsidRDefault="00017963" w:rsidP="00C22AD9">
            <w:pPr>
              <w:keepNext/>
              <w:keepLines/>
              <w:rPr>
                <w:rFonts w:ascii="Arial" w:hAnsi="Arial" w:cs="Arial"/>
                <w:sz w:val="20"/>
                <w:szCs w:val="20"/>
              </w:rPr>
            </w:pPr>
            <w:r>
              <w:rPr>
                <w:rFonts w:ascii="Arial" w:hAnsi="Arial" w:cs="Arial"/>
                <w:sz w:val="20"/>
                <w:szCs w:val="20"/>
              </w:rPr>
              <w:t>.</w:t>
            </w:r>
            <w:r w:rsidR="00C22AD9" w:rsidRPr="00CD79B5">
              <w:rPr>
                <w:rFonts w:ascii="Arial" w:hAnsi="Arial" w:cs="Arial"/>
                <w:sz w:val="20"/>
                <w:szCs w:val="20"/>
              </w:rPr>
              <w:t>116</w:t>
            </w:r>
            <w:r w:rsidR="00C22AD9">
              <w:rPr>
                <w:rFonts w:ascii="Arial" w:hAnsi="Arial" w:cs="Arial"/>
                <w:sz w:val="20"/>
                <w:szCs w:val="20"/>
              </w:rPr>
              <w:t>(g)</w:t>
            </w:r>
          </w:p>
        </w:tc>
        <w:tc>
          <w:tcPr>
            <w:tcW w:w="5085" w:type="dxa"/>
          </w:tcPr>
          <w:p w14:paraId="6BD94F2B" w14:textId="7A2B5115" w:rsidR="00C22AD9" w:rsidRPr="00C22AD9" w:rsidRDefault="00C22AD9" w:rsidP="00C22AD9">
            <w:pPr>
              <w:pStyle w:val="ListParagraph"/>
              <w:keepNext/>
              <w:keepLines/>
              <w:numPr>
                <w:ilvl w:val="0"/>
                <w:numId w:val="15"/>
              </w:numPr>
              <w:ind w:left="360"/>
              <w:rPr>
                <w:rFonts w:ascii="Arial" w:hAnsi="Arial" w:cs="Arial"/>
                <w:sz w:val="20"/>
                <w:szCs w:val="20"/>
              </w:rPr>
            </w:pPr>
            <w:r w:rsidRPr="00C22AD9">
              <w:rPr>
                <w:rFonts w:ascii="Arial" w:hAnsi="Arial" w:cs="Arial"/>
                <w:sz w:val="20"/>
                <w:szCs w:val="20"/>
              </w:rPr>
              <w:t>No requirement for consent for recruitment</w:t>
            </w:r>
          </w:p>
        </w:tc>
        <w:tc>
          <w:tcPr>
            <w:tcW w:w="1550" w:type="dxa"/>
            <w:vAlign w:val="center"/>
          </w:tcPr>
          <w:p w14:paraId="0ABF22A8" w14:textId="2D45C4B7" w:rsidR="00C22AD9" w:rsidRPr="00CD79B5" w:rsidRDefault="00C22AD9" w:rsidP="00017963">
            <w:pPr>
              <w:keepNext/>
              <w:keepLines/>
              <w:jc w:val="center"/>
              <w:rPr>
                <w:rFonts w:ascii="Arial" w:hAnsi="Arial" w:cs="Arial"/>
                <w:sz w:val="20"/>
                <w:szCs w:val="20"/>
              </w:rPr>
            </w:pPr>
            <w:r>
              <w:rPr>
                <w:rFonts w:ascii="Arial" w:hAnsi="Arial" w:cs="Arial"/>
                <w:sz w:val="20"/>
                <w:szCs w:val="20"/>
              </w:rPr>
              <w:t>X</w:t>
            </w:r>
          </w:p>
        </w:tc>
        <w:tc>
          <w:tcPr>
            <w:tcW w:w="1550" w:type="dxa"/>
            <w:vAlign w:val="center"/>
          </w:tcPr>
          <w:p w14:paraId="61A1339D" w14:textId="77777777" w:rsidR="00C22AD9" w:rsidRPr="00CD79B5" w:rsidRDefault="00C22AD9" w:rsidP="00017963">
            <w:pPr>
              <w:keepNext/>
              <w:keepLines/>
              <w:jc w:val="center"/>
              <w:rPr>
                <w:rFonts w:ascii="Arial" w:hAnsi="Arial" w:cs="Arial"/>
                <w:sz w:val="20"/>
                <w:szCs w:val="20"/>
              </w:rPr>
            </w:pPr>
          </w:p>
        </w:tc>
      </w:tr>
      <w:tr w:rsidR="00F9126E" w14:paraId="5E878391" w14:textId="77777777" w:rsidTr="00017963">
        <w:trPr>
          <w:cantSplit/>
        </w:trPr>
        <w:tc>
          <w:tcPr>
            <w:tcW w:w="1165" w:type="dxa"/>
          </w:tcPr>
          <w:p w14:paraId="7799E73B" w14:textId="5F6E7E59" w:rsidR="00F9126E" w:rsidRPr="00CD79B5" w:rsidRDefault="00017963" w:rsidP="00F9126E">
            <w:pPr>
              <w:keepNext/>
              <w:keepLines/>
              <w:rPr>
                <w:rFonts w:ascii="Arial" w:hAnsi="Arial" w:cs="Arial"/>
                <w:sz w:val="20"/>
                <w:szCs w:val="20"/>
              </w:rPr>
            </w:pPr>
            <w:r>
              <w:rPr>
                <w:rFonts w:ascii="Arial" w:hAnsi="Arial" w:cs="Arial"/>
                <w:sz w:val="20"/>
                <w:szCs w:val="20"/>
              </w:rPr>
              <w:t>.</w:t>
            </w:r>
            <w:r w:rsidR="00F9126E" w:rsidRPr="00CD79B5">
              <w:rPr>
                <w:rFonts w:ascii="Arial" w:hAnsi="Arial" w:cs="Arial"/>
                <w:sz w:val="20"/>
                <w:szCs w:val="20"/>
              </w:rPr>
              <w:t>116</w:t>
            </w:r>
            <w:r w:rsidR="00F9126E">
              <w:rPr>
                <w:rFonts w:ascii="Arial" w:hAnsi="Arial" w:cs="Arial"/>
                <w:sz w:val="20"/>
                <w:szCs w:val="20"/>
              </w:rPr>
              <w:t>(h)</w:t>
            </w:r>
          </w:p>
        </w:tc>
        <w:tc>
          <w:tcPr>
            <w:tcW w:w="5085" w:type="dxa"/>
          </w:tcPr>
          <w:p w14:paraId="6648B1ED" w14:textId="28A6A488" w:rsidR="00F9126E" w:rsidRDefault="00F9126E" w:rsidP="00F9126E">
            <w:pPr>
              <w:pStyle w:val="ListParagraph"/>
              <w:keepNext/>
              <w:keepLines/>
              <w:numPr>
                <w:ilvl w:val="0"/>
                <w:numId w:val="15"/>
              </w:numPr>
              <w:ind w:left="360"/>
              <w:rPr>
                <w:rFonts w:ascii="Arial" w:hAnsi="Arial" w:cs="Arial"/>
                <w:sz w:val="20"/>
                <w:szCs w:val="20"/>
              </w:rPr>
            </w:pPr>
            <w:r>
              <w:rPr>
                <w:rFonts w:ascii="Arial" w:hAnsi="Arial" w:cs="Arial"/>
                <w:sz w:val="20"/>
                <w:szCs w:val="20"/>
              </w:rPr>
              <w:t xml:space="preserve">Public posting of </w:t>
            </w:r>
            <w:r w:rsidR="001110D4">
              <w:rPr>
                <w:rFonts w:ascii="Arial" w:hAnsi="Arial" w:cs="Arial"/>
                <w:sz w:val="20"/>
                <w:szCs w:val="20"/>
              </w:rPr>
              <w:t>&lt;C</w:t>
            </w:r>
            <w:r>
              <w:rPr>
                <w:rFonts w:ascii="Arial" w:hAnsi="Arial" w:cs="Arial"/>
                <w:sz w:val="20"/>
                <w:szCs w:val="20"/>
              </w:rPr>
              <w:t xml:space="preserve">linical </w:t>
            </w:r>
            <w:r w:rsidR="001110D4">
              <w:rPr>
                <w:rFonts w:ascii="Arial" w:hAnsi="Arial" w:cs="Arial"/>
                <w:sz w:val="20"/>
                <w:szCs w:val="20"/>
              </w:rPr>
              <w:t>Trial as Defined by</w:t>
            </w:r>
            <w:r w:rsidR="001110D4">
              <w:t xml:space="preserve"> 45 CFR </w:t>
            </w:r>
            <w:r w:rsidR="001110D4" w:rsidRPr="00BD3193">
              <w:t>§</w:t>
            </w:r>
            <w:r w:rsidR="001110D4">
              <w:t xml:space="preserve">46&gt; </w:t>
            </w:r>
            <w:r>
              <w:rPr>
                <w:rFonts w:ascii="Arial" w:hAnsi="Arial" w:cs="Arial"/>
                <w:sz w:val="20"/>
                <w:szCs w:val="20"/>
              </w:rPr>
              <w:t>consent form</w:t>
            </w:r>
          </w:p>
        </w:tc>
        <w:tc>
          <w:tcPr>
            <w:tcW w:w="1550" w:type="dxa"/>
            <w:vAlign w:val="center"/>
          </w:tcPr>
          <w:p w14:paraId="0DDEB5BB" w14:textId="77777777" w:rsidR="00F9126E" w:rsidRPr="00CD79B5" w:rsidRDefault="00F9126E" w:rsidP="00017963">
            <w:pPr>
              <w:keepNext/>
              <w:keepLines/>
              <w:jc w:val="center"/>
              <w:rPr>
                <w:rFonts w:ascii="Arial" w:hAnsi="Arial" w:cs="Arial"/>
                <w:sz w:val="20"/>
                <w:szCs w:val="20"/>
              </w:rPr>
            </w:pPr>
          </w:p>
        </w:tc>
        <w:tc>
          <w:tcPr>
            <w:tcW w:w="1550" w:type="dxa"/>
            <w:vAlign w:val="center"/>
          </w:tcPr>
          <w:p w14:paraId="33EE783D" w14:textId="3EA9C624" w:rsidR="00F9126E" w:rsidRPr="00CD79B5" w:rsidRDefault="00F9126E" w:rsidP="00017963">
            <w:pPr>
              <w:keepNext/>
              <w:keepLines/>
              <w:jc w:val="center"/>
              <w:rPr>
                <w:rFonts w:ascii="Arial" w:hAnsi="Arial" w:cs="Arial"/>
                <w:sz w:val="20"/>
                <w:szCs w:val="20"/>
              </w:rPr>
            </w:pPr>
            <w:r>
              <w:rPr>
                <w:rFonts w:ascii="Arial" w:hAnsi="Arial" w:cs="Arial"/>
                <w:sz w:val="20"/>
                <w:szCs w:val="20"/>
              </w:rPr>
              <w:t>X</w:t>
            </w:r>
          </w:p>
        </w:tc>
      </w:tr>
      <w:tr w:rsidR="00F9126E" w14:paraId="1FEA0DBA" w14:textId="77777777" w:rsidTr="00017963">
        <w:trPr>
          <w:cantSplit/>
        </w:trPr>
        <w:tc>
          <w:tcPr>
            <w:tcW w:w="1165" w:type="dxa"/>
          </w:tcPr>
          <w:p w14:paraId="39A79ED7" w14:textId="5A9D3AB9" w:rsidR="00F9126E" w:rsidRPr="00CD79B5" w:rsidRDefault="00017963" w:rsidP="00F9126E">
            <w:pPr>
              <w:keepNext/>
              <w:keepLines/>
              <w:rPr>
                <w:rFonts w:ascii="Arial" w:hAnsi="Arial" w:cs="Arial"/>
                <w:sz w:val="20"/>
                <w:szCs w:val="20"/>
              </w:rPr>
            </w:pPr>
            <w:r>
              <w:rPr>
                <w:rFonts w:ascii="Arial" w:hAnsi="Arial" w:cs="Arial"/>
                <w:sz w:val="20"/>
                <w:szCs w:val="20"/>
              </w:rPr>
              <w:t>.</w:t>
            </w:r>
            <w:r w:rsidR="00F9126E">
              <w:rPr>
                <w:rFonts w:ascii="Arial" w:hAnsi="Arial" w:cs="Arial"/>
                <w:sz w:val="20"/>
                <w:szCs w:val="20"/>
              </w:rPr>
              <w:t>116(i)-(j)</w:t>
            </w:r>
          </w:p>
        </w:tc>
        <w:tc>
          <w:tcPr>
            <w:tcW w:w="5085" w:type="dxa"/>
          </w:tcPr>
          <w:p w14:paraId="6E8575EB" w14:textId="77777777" w:rsidR="00F9126E" w:rsidRPr="00F9126E" w:rsidRDefault="00F9126E" w:rsidP="00F9126E">
            <w:pPr>
              <w:keepNext/>
              <w:keepLines/>
              <w:rPr>
                <w:rFonts w:ascii="Arial" w:hAnsi="Arial" w:cs="Arial"/>
                <w:sz w:val="20"/>
                <w:szCs w:val="20"/>
              </w:rPr>
            </w:pPr>
          </w:p>
        </w:tc>
        <w:tc>
          <w:tcPr>
            <w:tcW w:w="1550" w:type="dxa"/>
            <w:vAlign w:val="center"/>
          </w:tcPr>
          <w:p w14:paraId="1109B415" w14:textId="54077F41" w:rsidR="00F9126E" w:rsidRPr="00CD79B5" w:rsidRDefault="00F9126E" w:rsidP="00017963">
            <w:pPr>
              <w:keepNext/>
              <w:keepLines/>
              <w:jc w:val="center"/>
              <w:rPr>
                <w:rFonts w:ascii="Arial" w:hAnsi="Arial" w:cs="Arial"/>
                <w:sz w:val="20"/>
                <w:szCs w:val="20"/>
              </w:rPr>
            </w:pPr>
            <w:r>
              <w:rPr>
                <w:rFonts w:ascii="Arial" w:hAnsi="Arial" w:cs="Arial"/>
                <w:sz w:val="20"/>
                <w:szCs w:val="20"/>
              </w:rPr>
              <w:t>X</w:t>
            </w:r>
          </w:p>
        </w:tc>
        <w:tc>
          <w:tcPr>
            <w:tcW w:w="1550" w:type="dxa"/>
            <w:vAlign w:val="center"/>
          </w:tcPr>
          <w:p w14:paraId="3C4E38E9" w14:textId="77777777" w:rsidR="00F9126E" w:rsidRPr="00CD79B5" w:rsidRDefault="00F9126E" w:rsidP="00017963">
            <w:pPr>
              <w:keepNext/>
              <w:keepLines/>
              <w:jc w:val="center"/>
              <w:rPr>
                <w:rFonts w:ascii="Arial" w:hAnsi="Arial" w:cs="Arial"/>
                <w:sz w:val="20"/>
                <w:szCs w:val="20"/>
              </w:rPr>
            </w:pPr>
          </w:p>
        </w:tc>
      </w:tr>
      <w:tr w:rsidR="00F9126E" w14:paraId="2ABF8E96" w14:textId="77777777" w:rsidTr="00017963">
        <w:trPr>
          <w:cantSplit/>
        </w:trPr>
        <w:tc>
          <w:tcPr>
            <w:tcW w:w="1165" w:type="dxa"/>
          </w:tcPr>
          <w:p w14:paraId="6BBB20C5" w14:textId="7F4CBEBC" w:rsidR="00F9126E" w:rsidRPr="00CD79B5" w:rsidRDefault="00017963" w:rsidP="00F9126E">
            <w:pPr>
              <w:keepNext/>
              <w:keepLines/>
              <w:rPr>
                <w:rFonts w:ascii="Arial" w:hAnsi="Arial" w:cs="Arial"/>
                <w:sz w:val="20"/>
                <w:szCs w:val="20"/>
              </w:rPr>
            </w:pPr>
            <w:r>
              <w:rPr>
                <w:rFonts w:ascii="Arial" w:hAnsi="Arial" w:cs="Arial"/>
                <w:sz w:val="20"/>
                <w:szCs w:val="20"/>
              </w:rPr>
              <w:t>.</w:t>
            </w:r>
            <w:r w:rsidR="00F9126E" w:rsidRPr="00CD79B5">
              <w:rPr>
                <w:rFonts w:ascii="Arial" w:hAnsi="Arial" w:cs="Arial"/>
                <w:sz w:val="20"/>
                <w:szCs w:val="20"/>
              </w:rPr>
              <w:t>117</w:t>
            </w:r>
          </w:p>
        </w:tc>
        <w:tc>
          <w:tcPr>
            <w:tcW w:w="5085" w:type="dxa"/>
          </w:tcPr>
          <w:p w14:paraId="04E51942" w14:textId="29DE3FA9" w:rsidR="00F9126E" w:rsidRPr="00C22AD9" w:rsidRDefault="00F9126E" w:rsidP="00F9126E">
            <w:pPr>
              <w:pStyle w:val="ListParagraph"/>
              <w:keepNext/>
              <w:keepLines/>
              <w:numPr>
                <w:ilvl w:val="0"/>
                <w:numId w:val="15"/>
              </w:numPr>
              <w:ind w:left="360"/>
              <w:rPr>
                <w:rFonts w:ascii="Arial" w:hAnsi="Arial" w:cs="Arial"/>
                <w:sz w:val="20"/>
                <w:szCs w:val="20"/>
              </w:rPr>
            </w:pPr>
            <w:r w:rsidRPr="00C22AD9">
              <w:rPr>
                <w:rFonts w:ascii="Arial" w:hAnsi="Arial" w:cs="Arial"/>
                <w:sz w:val="20"/>
                <w:szCs w:val="20"/>
              </w:rPr>
              <w:t>Revised criteria for waiver of written documentation of consent</w:t>
            </w:r>
          </w:p>
        </w:tc>
        <w:tc>
          <w:tcPr>
            <w:tcW w:w="1550" w:type="dxa"/>
            <w:vAlign w:val="center"/>
          </w:tcPr>
          <w:p w14:paraId="6406BDD5" w14:textId="4E3D05F8" w:rsidR="00F9126E" w:rsidRPr="00CD79B5" w:rsidRDefault="00F9126E" w:rsidP="00017963">
            <w:pPr>
              <w:keepNext/>
              <w:keepLines/>
              <w:jc w:val="center"/>
              <w:rPr>
                <w:rFonts w:ascii="Arial" w:hAnsi="Arial" w:cs="Arial"/>
                <w:sz w:val="20"/>
                <w:szCs w:val="20"/>
              </w:rPr>
            </w:pPr>
            <w:r w:rsidRPr="00CD79B5">
              <w:rPr>
                <w:rFonts w:ascii="Arial" w:hAnsi="Arial" w:cs="Arial"/>
                <w:sz w:val="20"/>
                <w:szCs w:val="20"/>
              </w:rPr>
              <w:t>X</w:t>
            </w:r>
          </w:p>
        </w:tc>
        <w:tc>
          <w:tcPr>
            <w:tcW w:w="1550" w:type="dxa"/>
            <w:vAlign w:val="center"/>
          </w:tcPr>
          <w:p w14:paraId="71AD91CE" w14:textId="161AD130" w:rsidR="00F9126E" w:rsidRPr="00CD79B5" w:rsidRDefault="00F9126E" w:rsidP="00017963">
            <w:pPr>
              <w:keepNext/>
              <w:keepLines/>
              <w:jc w:val="center"/>
              <w:rPr>
                <w:rFonts w:ascii="Arial" w:hAnsi="Arial" w:cs="Arial"/>
                <w:sz w:val="20"/>
                <w:szCs w:val="20"/>
              </w:rPr>
            </w:pPr>
          </w:p>
        </w:tc>
      </w:tr>
      <w:tr w:rsidR="00F9126E" w14:paraId="2CEBCFD8" w14:textId="77777777" w:rsidTr="00017963">
        <w:trPr>
          <w:cantSplit/>
        </w:trPr>
        <w:tc>
          <w:tcPr>
            <w:tcW w:w="1165" w:type="dxa"/>
          </w:tcPr>
          <w:p w14:paraId="03D202A6" w14:textId="6FFF4E75" w:rsidR="00F9126E" w:rsidRPr="00CD79B5" w:rsidRDefault="00017963" w:rsidP="00F9126E">
            <w:pPr>
              <w:keepNext/>
              <w:keepLines/>
              <w:rPr>
                <w:rFonts w:ascii="Arial" w:hAnsi="Arial" w:cs="Arial"/>
                <w:sz w:val="20"/>
                <w:szCs w:val="20"/>
              </w:rPr>
            </w:pPr>
            <w:r>
              <w:rPr>
                <w:rFonts w:ascii="Arial" w:hAnsi="Arial" w:cs="Arial"/>
                <w:sz w:val="20"/>
                <w:szCs w:val="20"/>
              </w:rPr>
              <w:t>.</w:t>
            </w:r>
            <w:r w:rsidR="00F9126E">
              <w:rPr>
                <w:rFonts w:ascii="Arial" w:hAnsi="Arial" w:cs="Arial"/>
                <w:sz w:val="20"/>
                <w:szCs w:val="20"/>
              </w:rPr>
              <w:t>118-124</w:t>
            </w:r>
          </w:p>
        </w:tc>
        <w:tc>
          <w:tcPr>
            <w:tcW w:w="5085" w:type="dxa"/>
          </w:tcPr>
          <w:p w14:paraId="2ABC3BCD" w14:textId="4B237221" w:rsidR="00F9126E" w:rsidRPr="00CD79B5" w:rsidRDefault="00F9126E" w:rsidP="00F9126E">
            <w:pPr>
              <w:keepNext/>
              <w:keepLines/>
              <w:rPr>
                <w:rFonts w:ascii="Arial" w:hAnsi="Arial" w:cs="Arial"/>
                <w:sz w:val="20"/>
                <w:szCs w:val="20"/>
              </w:rPr>
            </w:pPr>
          </w:p>
        </w:tc>
        <w:tc>
          <w:tcPr>
            <w:tcW w:w="1550" w:type="dxa"/>
            <w:vAlign w:val="center"/>
          </w:tcPr>
          <w:p w14:paraId="124EE25F" w14:textId="4E1148AF" w:rsidR="00F9126E" w:rsidRPr="00CD79B5" w:rsidRDefault="00F9126E" w:rsidP="00017963">
            <w:pPr>
              <w:keepNext/>
              <w:keepLines/>
              <w:jc w:val="center"/>
              <w:rPr>
                <w:rFonts w:ascii="Arial" w:hAnsi="Arial" w:cs="Arial"/>
                <w:sz w:val="20"/>
                <w:szCs w:val="20"/>
              </w:rPr>
            </w:pPr>
            <w:r w:rsidRPr="00CD79B5">
              <w:rPr>
                <w:rFonts w:ascii="Arial" w:hAnsi="Arial" w:cs="Arial"/>
                <w:sz w:val="20"/>
                <w:szCs w:val="20"/>
              </w:rPr>
              <w:t>X</w:t>
            </w:r>
          </w:p>
        </w:tc>
        <w:tc>
          <w:tcPr>
            <w:tcW w:w="1550" w:type="dxa"/>
            <w:vAlign w:val="center"/>
          </w:tcPr>
          <w:p w14:paraId="774F0125" w14:textId="6DD93CA3" w:rsidR="00F9126E" w:rsidRPr="00CD79B5" w:rsidRDefault="00F9126E" w:rsidP="00017963">
            <w:pPr>
              <w:keepNext/>
              <w:keepLines/>
              <w:jc w:val="center"/>
              <w:rPr>
                <w:rFonts w:ascii="Arial" w:hAnsi="Arial" w:cs="Arial"/>
                <w:sz w:val="20"/>
                <w:szCs w:val="20"/>
              </w:rPr>
            </w:pPr>
          </w:p>
        </w:tc>
      </w:tr>
    </w:tbl>
    <w:p w14:paraId="2C37BAD4" w14:textId="36ECB0FD" w:rsidR="00CD79B5" w:rsidRPr="00E60F7D" w:rsidRDefault="00CD79B5" w:rsidP="00CD79B5">
      <w:pPr>
        <w:pStyle w:val="SOPLevel2"/>
        <w:numPr>
          <w:ilvl w:val="0"/>
          <w:numId w:val="0"/>
        </w:numPr>
        <w:contextualSpacing w:val="0"/>
      </w:pPr>
    </w:p>
    <w:sectPr w:rsidR="00CD79B5" w:rsidRPr="00E60F7D" w:rsidSect="0093159B">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ED253" w14:textId="77777777" w:rsidR="00AF7092" w:rsidRDefault="00AF7092" w:rsidP="0093159B">
      <w:pPr>
        <w:spacing w:after="0" w:line="240" w:lineRule="auto"/>
      </w:pPr>
      <w:r>
        <w:separator/>
      </w:r>
    </w:p>
  </w:endnote>
  <w:endnote w:type="continuationSeparator" w:id="0">
    <w:p w14:paraId="728E7BA3" w14:textId="77777777" w:rsidR="00AF7092" w:rsidRDefault="00AF7092" w:rsidP="0093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A3256" w14:textId="6860D8F6" w:rsidR="00956356" w:rsidRPr="006F30DD" w:rsidRDefault="006F30DD" w:rsidP="006F30DD">
    <w:pPr>
      <w:pStyle w:val="Footer"/>
      <w:jc w:val="center"/>
      <w:rPr>
        <w:rFonts w:ascii="Arial Narrow" w:hAnsi="Arial Narrow"/>
      </w:rPr>
    </w:pPr>
    <w:r w:rsidRPr="006F30DD">
      <w:rPr>
        <w:rFonts w:ascii="Arial Narrow" w:hAnsi="Arial Narrow" w:cs="Arial"/>
        <w:sz w:val="16"/>
        <w:szCs w:val="16"/>
      </w:rPr>
      <w:t xml:space="preserve">This work is licensed by </w:t>
    </w:r>
    <w:hyperlink r:id="rId1" w:history="1">
      <w:r w:rsidRPr="006F30DD">
        <w:rPr>
          <w:rStyle w:val="Hyperlink"/>
          <w:rFonts w:ascii="Arial Narrow" w:hAnsi="Arial Narrow" w:cs="Arial"/>
          <w:sz w:val="16"/>
          <w:szCs w:val="16"/>
        </w:rPr>
        <w:t>WIRB Copernicus Group, Inc.</w:t>
      </w:r>
    </w:hyperlink>
    <w:r w:rsidRPr="006F30DD">
      <w:rPr>
        <w:rFonts w:ascii="Arial Narrow" w:hAnsi="Arial Narrow" w:cs="Arial"/>
        <w:sz w:val="16"/>
        <w:szCs w:val="16"/>
      </w:rPr>
      <w:t xml:space="preserve"> under a </w:t>
    </w:r>
    <w:hyperlink r:id="rId2" w:history="1">
      <w:r w:rsidRPr="006F30DD">
        <w:rPr>
          <w:rStyle w:val="Hyperlink"/>
          <w:rFonts w:ascii="Arial Narrow" w:hAnsi="Arial Narrow" w:cs="Arial"/>
          <w:sz w:val="16"/>
          <w:szCs w:val="16"/>
        </w:rPr>
        <w:t>Creative Commons Attribution-</w:t>
      </w:r>
      <w:proofErr w:type="spellStart"/>
      <w:r w:rsidRPr="006F30DD">
        <w:rPr>
          <w:rStyle w:val="Hyperlink"/>
          <w:rFonts w:ascii="Arial Narrow" w:hAnsi="Arial Narrow" w:cs="Arial"/>
          <w:sz w:val="16"/>
          <w:szCs w:val="16"/>
        </w:rPr>
        <w:t>NonCommercial</w:t>
      </w:r>
      <w:proofErr w:type="spellEnd"/>
      <w:r w:rsidRPr="006F30DD">
        <w:rPr>
          <w:rStyle w:val="Hyperlink"/>
          <w:rFonts w:ascii="Arial Narrow" w:hAnsi="Arial Narrow" w:cs="Arial"/>
          <w:sz w:val="16"/>
          <w:szCs w:val="16"/>
        </w:rPr>
        <w:t>-</w:t>
      </w:r>
      <w:proofErr w:type="spellStart"/>
      <w:r w:rsidRPr="006F30DD">
        <w:rPr>
          <w:rStyle w:val="Hyperlink"/>
          <w:rFonts w:ascii="Arial Narrow" w:hAnsi="Arial Narrow" w:cs="Arial"/>
          <w:sz w:val="16"/>
          <w:szCs w:val="16"/>
        </w:rPr>
        <w:t>ShareAlike</w:t>
      </w:r>
      <w:proofErr w:type="spellEnd"/>
      <w:r w:rsidRPr="006F30DD">
        <w:rPr>
          <w:rStyle w:val="Hyperlink"/>
          <w:rFonts w:ascii="Arial Narrow" w:hAnsi="Arial Narrow" w:cs="Arial"/>
          <w:sz w:val="16"/>
          <w:szCs w:val="16"/>
        </w:rPr>
        <w:t xml:space="preserve"> 4.0 International License</w:t>
      </w:r>
    </w:hyperlink>
    <w:r w:rsidRPr="006F30DD">
      <w:rPr>
        <w:rFonts w:ascii="Arial Narrow" w:hAnsi="Arial Narrow"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FFA4C" w14:textId="77777777" w:rsidR="00AF7092" w:rsidRDefault="00AF7092" w:rsidP="0093159B">
      <w:pPr>
        <w:spacing w:after="0" w:line="240" w:lineRule="auto"/>
      </w:pPr>
      <w:r>
        <w:separator/>
      </w:r>
    </w:p>
  </w:footnote>
  <w:footnote w:type="continuationSeparator" w:id="0">
    <w:p w14:paraId="3724E0E5" w14:textId="77777777" w:rsidR="00AF7092" w:rsidRDefault="00AF7092" w:rsidP="0093159B">
      <w:pPr>
        <w:spacing w:after="0" w:line="240" w:lineRule="auto"/>
      </w:pPr>
      <w:r>
        <w:continuationSeparator/>
      </w:r>
    </w:p>
  </w:footnote>
  <w:footnote w:id="1">
    <w:p w14:paraId="7C0D002B" w14:textId="4820E6D1" w:rsidR="00422927" w:rsidRDefault="00422927" w:rsidP="00F531ED">
      <w:pPr>
        <w:pStyle w:val="FootnoteText"/>
      </w:pPr>
      <w:r>
        <w:rPr>
          <w:rStyle w:val="FootnoteReference"/>
        </w:rPr>
        <w:footnoteRef/>
      </w:r>
      <w:r>
        <w:t xml:space="preserve"> The following activities are deemed not to be &lt;Research as Defined by HHS&gt;: (1) Scholarly and journalistic activities (e.g., oral history, journalism, biography, literary criticism, legal research, and historical scholarship), including the collection and use of information, that focus directly on the specific individuals about whom the information is collected. (2) Public health surveillance activities, including the collection and testing of information or biospecimens, conducted, supported, requested, ordered, required, or authorized by a public health authority. Such activities are limited to those necessary to allow a public health authority to identify, monitor, assess, or investigate potential public health signals, onsets of disease outbreaks, or conditions of public health importance (including trends, signals, risk factors, patterns in diseases, or increases in injuries from using consumer products). Such activities include those associated with providing timely situational awareness and priority setting during the course of an event or crisis that threatens public health (including natural or man-made disasters). (3) Collection and analysis of information, biospecimens, or records by or for a criminal justice agency for activities authorized by law or court order solely for criminal justice or criminal investigative purposes. (4) Authorized operational activities (as determined by each agency) in support of intelligence, homeland security, defense, or other national security missions.</w:t>
      </w:r>
      <w:r w:rsidR="00F531ED">
        <w:t xml:space="preserve"> Public health authority means an agency or authority of the United States, a state, a territory, a political subdivision of a state or territory, an Indian tribe, or a foreign government, or a person or entity acting under a grant of authority from or contract with such public agency, including the employees or agents of such </w:t>
      </w:r>
      <w:r w:rsidR="007D0611">
        <w:t>public agency</w:t>
      </w:r>
      <w:r w:rsidR="00F531ED">
        <w:t xml:space="preserve"> or its contractors or persons or entities to whom it has granted authority, that is responsible for public health matters as part of its official mandate.</w:t>
      </w:r>
    </w:p>
  </w:footnote>
  <w:footnote w:id="2">
    <w:p w14:paraId="2B857477" w14:textId="5AF92662" w:rsidR="00A31738" w:rsidRDefault="00A31738" w:rsidP="00CD79B5">
      <w:pPr>
        <w:pStyle w:val="FootnoteText"/>
      </w:pPr>
      <w:r>
        <w:rPr>
          <w:rStyle w:val="FootnoteReference"/>
        </w:rPr>
        <w:footnoteRef/>
      </w:r>
      <w:r>
        <w:t xml:space="preserve"> Requirements</w:t>
      </w:r>
      <w:r w:rsidR="00017963">
        <w:t xml:space="preserve"> for</w:t>
      </w:r>
      <w:r>
        <w:t xml:space="preserve"> broad consent and limited IRB review located in other paragraphs are considered part of </w:t>
      </w:r>
      <w:r w:rsidR="00017963">
        <w:t>46.104</w:t>
      </w:r>
      <w:r>
        <w:t xml:space="preserve"> </w:t>
      </w:r>
      <w:r w:rsidR="00017963">
        <w:t>by r</w:t>
      </w:r>
      <w:r>
        <w:t>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Layout w:type="fixed"/>
      <w:tblLook w:val="04A0" w:firstRow="1" w:lastRow="0" w:firstColumn="1" w:lastColumn="0" w:noHBand="0" w:noVBand="1"/>
    </w:tblPr>
    <w:tblGrid>
      <w:gridCol w:w="3399"/>
      <w:gridCol w:w="1489"/>
      <w:gridCol w:w="1489"/>
      <w:gridCol w:w="1489"/>
      <w:gridCol w:w="1489"/>
    </w:tblGrid>
    <w:tr w:rsidR="00533B26" w14:paraId="029A3245" w14:textId="77777777" w:rsidTr="0032657E">
      <w:trPr>
        <w:cantSplit/>
        <w:trHeight w:hRule="exact" w:val="720"/>
      </w:trPr>
      <w:tc>
        <w:tcPr>
          <w:tcW w:w="3484" w:type="dxa"/>
          <w:vMerge w:val="restart"/>
          <w:tcBorders>
            <w:top w:val="nil"/>
            <w:left w:val="nil"/>
            <w:bottom w:val="nil"/>
          </w:tcBorders>
          <w:shd w:val="clear" w:color="auto" w:fill="auto"/>
          <w:vAlign w:val="center"/>
        </w:tcPr>
        <w:p w14:paraId="029A3243" w14:textId="4545036D" w:rsidR="00533B26" w:rsidRPr="0071055B" w:rsidRDefault="007A6D01" w:rsidP="00810F51">
          <w:pPr>
            <w:pStyle w:val="Image"/>
          </w:pPr>
          <w:r>
            <w:rPr>
              <w:noProof/>
            </w:rPr>
            <w:drawing>
              <wp:inline distT="0" distB="0" distL="0" distR="0" wp14:anchorId="03A1391A" wp14:editId="64802074">
                <wp:extent cx="219456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sheet logo.jpg"/>
                        <pic:cNvPicPr/>
                      </pic:nvPicPr>
                      <pic:blipFill>
                        <a:blip r:embed="rId1">
                          <a:extLst>
                            <a:ext uri="{28A0092B-C50C-407E-A947-70E740481C1C}">
                              <a14:useLocalDpi xmlns:a14="http://schemas.microsoft.com/office/drawing/2010/main" val="0"/>
                            </a:ext>
                          </a:extLst>
                        </a:blip>
                        <a:stretch>
                          <a:fillRect/>
                        </a:stretch>
                      </pic:blipFill>
                      <pic:spPr>
                        <a:xfrm>
                          <a:off x="0" y="0"/>
                          <a:ext cx="2194560" cy="640080"/>
                        </a:xfrm>
                        <a:prstGeom prst="rect">
                          <a:avLst/>
                        </a:prstGeom>
                      </pic:spPr>
                    </pic:pic>
                  </a:graphicData>
                </a:graphic>
              </wp:inline>
            </w:drawing>
          </w:r>
        </w:p>
      </w:tc>
      <w:tc>
        <w:tcPr>
          <w:tcW w:w="6092" w:type="dxa"/>
          <w:gridSpan w:val="4"/>
          <w:vAlign w:val="center"/>
        </w:tcPr>
        <w:p w14:paraId="029A3244" w14:textId="77777777" w:rsidR="00533B26" w:rsidRPr="00956356" w:rsidRDefault="00AF7092" w:rsidP="00810F51">
          <w:pPr>
            <w:pStyle w:val="SOPTitle"/>
          </w:pPr>
          <w:r>
            <w:fldChar w:fldCharType="begin"/>
          </w:r>
          <w:r>
            <w:instrText xml:space="preserve"> TITLE   \* MERGEFORMAT </w:instrText>
          </w:r>
          <w:r>
            <w:fldChar w:fldCharType="separate"/>
          </w:r>
          <w:r w:rsidR="007553C3">
            <w:t>POLICY: Definitions</w:t>
          </w:r>
          <w:r>
            <w:fldChar w:fldCharType="end"/>
          </w:r>
        </w:p>
      </w:tc>
    </w:tr>
    <w:tr w:rsidR="00533B26" w14:paraId="029A324B" w14:textId="77777777" w:rsidTr="0032657E">
      <w:trPr>
        <w:cantSplit/>
        <w:trHeight w:hRule="exact" w:val="216"/>
      </w:trPr>
      <w:tc>
        <w:tcPr>
          <w:tcW w:w="3484" w:type="dxa"/>
          <w:vMerge/>
          <w:tcBorders>
            <w:left w:val="nil"/>
            <w:bottom w:val="nil"/>
          </w:tcBorders>
          <w:shd w:val="clear" w:color="auto" w:fill="auto"/>
        </w:tcPr>
        <w:p w14:paraId="029A3246" w14:textId="77777777" w:rsidR="00533B26" w:rsidRDefault="00533B26" w:rsidP="00810F51">
          <w:pPr>
            <w:pStyle w:val="SOPBasis"/>
          </w:pPr>
        </w:p>
      </w:tc>
      <w:tc>
        <w:tcPr>
          <w:tcW w:w="1523" w:type="dxa"/>
          <w:shd w:val="clear" w:color="auto" w:fill="D9D9D9" w:themeFill="background1" w:themeFillShade="D9"/>
          <w:vAlign w:val="center"/>
        </w:tcPr>
        <w:p w14:paraId="029A3247" w14:textId="77777777" w:rsidR="00533B26" w:rsidRDefault="00533B26" w:rsidP="00810F51">
          <w:pPr>
            <w:pStyle w:val="SOPTableHeader"/>
          </w:pPr>
          <w:r w:rsidRPr="001A5A2A">
            <w:t>Document No.:</w:t>
          </w:r>
        </w:p>
      </w:tc>
      <w:tc>
        <w:tcPr>
          <w:tcW w:w="1523" w:type="dxa"/>
          <w:shd w:val="clear" w:color="auto" w:fill="D9D9D9" w:themeFill="background1" w:themeFillShade="D9"/>
          <w:vAlign w:val="center"/>
        </w:tcPr>
        <w:p w14:paraId="029A3248" w14:textId="77777777" w:rsidR="00533B26" w:rsidRDefault="00533B26" w:rsidP="00810F51">
          <w:pPr>
            <w:pStyle w:val="SOPTableHeader"/>
          </w:pPr>
          <w:r>
            <w:t>Edition No.:</w:t>
          </w:r>
        </w:p>
      </w:tc>
      <w:tc>
        <w:tcPr>
          <w:tcW w:w="1523" w:type="dxa"/>
          <w:shd w:val="clear" w:color="auto" w:fill="D9D9D9" w:themeFill="background1" w:themeFillShade="D9"/>
          <w:vAlign w:val="center"/>
        </w:tcPr>
        <w:p w14:paraId="029A3249" w14:textId="77777777" w:rsidR="00533B26" w:rsidRDefault="00533B26" w:rsidP="00810F51">
          <w:pPr>
            <w:pStyle w:val="SOPTableHeader"/>
          </w:pPr>
          <w:r w:rsidRPr="001A5A2A">
            <w:t>Effective Date:</w:t>
          </w:r>
        </w:p>
      </w:tc>
      <w:tc>
        <w:tcPr>
          <w:tcW w:w="1523" w:type="dxa"/>
          <w:shd w:val="clear" w:color="auto" w:fill="D9D9D9" w:themeFill="background1" w:themeFillShade="D9"/>
          <w:vAlign w:val="center"/>
        </w:tcPr>
        <w:p w14:paraId="029A324A" w14:textId="77777777" w:rsidR="00533B26" w:rsidRPr="006D2E9A" w:rsidRDefault="00533B26" w:rsidP="00810F51">
          <w:pPr>
            <w:pStyle w:val="SOPTableHeader"/>
          </w:pPr>
          <w:r>
            <w:t>Page:</w:t>
          </w:r>
        </w:p>
      </w:tc>
    </w:tr>
    <w:tr w:rsidR="00533B26" w14:paraId="029A3251" w14:textId="77777777" w:rsidTr="003B3CC4">
      <w:trPr>
        <w:cantSplit/>
        <w:trHeight w:hRule="exact" w:val="360"/>
      </w:trPr>
      <w:tc>
        <w:tcPr>
          <w:tcW w:w="3484" w:type="dxa"/>
          <w:vMerge/>
          <w:tcBorders>
            <w:left w:val="nil"/>
            <w:bottom w:val="nil"/>
          </w:tcBorders>
          <w:shd w:val="clear" w:color="auto" w:fill="auto"/>
        </w:tcPr>
        <w:p w14:paraId="029A324C" w14:textId="77777777" w:rsidR="00533B26" w:rsidRDefault="00533B26" w:rsidP="00810F51">
          <w:pPr>
            <w:pStyle w:val="SOPBasis"/>
          </w:pPr>
        </w:p>
      </w:tc>
      <w:tc>
        <w:tcPr>
          <w:tcW w:w="1523" w:type="dxa"/>
          <w:vAlign w:val="center"/>
        </w:tcPr>
        <w:p w14:paraId="029A324D" w14:textId="77777777" w:rsidR="00533B26" w:rsidRPr="00332ADF" w:rsidRDefault="00AF7092" w:rsidP="00810F51">
          <w:pPr>
            <w:pStyle w:val="SOPTableItemBold"/>
          </w:pPr>
          <w:r>
            <w:fldChar w:fldCharType="begin"/>
          </w:r>
          <w:r>
            <w:instrText xml:space="preserve"> SUBJECT   \* MERGEFORMAT </w:instrText>
          </w:r>
          <w:r>
            <w:fldChar w:fldCharType="separate"/>
          </w:r>
          <w:r w:rsidR="007553C3">
            <w:t>HRP-001</w:t>
          </w:r>
          <w:r>
            <w:fldChar w:fldCharType="end"/>
          </w:r>
        </w:p>
      </w:tc>
      <w:tc>
        <w:tcPr>
          <w:tcW w:w="1523" w:type="dxa"/>
          <w:vAlign w:val="center"/>
        </w:tcPr>
        <w:p w14:paraId="029A324E" w14:textId="53904DB0" w:rsidR="00533B26" w:rsidRPr="00332ADF" w:rsidRDefault="00533B26" w:rsidP="00810F51">
          <w:pPr>
            <w:pStyle w:val="SOPTableItemBold"/>
          </w:pPr>
          <w:r>
            <w:t>00</w:t>
          </w:r>
          <w:r w:rsidR="007A6D01">
            <w:t>2</w:t>
          </w:r>
        </w:p>
      </w:tc>
      <w:tc>
        <w:tcPr>
          <w:tcW w:w="1523" w:type="dxa"/>
          <w:tcMar>
            <w:left w:w="0" w:type="dxa"/>
            <w:right w:w="0" w:type="dxa"/>
          </w:tcMar>
          <w:vAlign w:val="center"/>
        </w:tcPr>
        <w:p w14:paraId="029A324F" w14:textId="49FC6F85" w:rsidR="00533B26" w:rsidRPr="00332ADF" w:rsidRDefault="007A6D01" w:rsidP="00810F51">
          <w:pPr>
            <w:pStyle w:val="SOPTableItemBold"/>
          </w:pPr>
          <w:r>
            <w:t>01 Feb 2021</w:t>
          </w:r>
        </w:p>
      </w:tc>
      <w:tc>
        <w:tcPr>
          <w:tcW w:w="1523" w:type="dxa"/>
          <w:vAlign w:val="center"/>
        </w:tcPr>
        <w:p w14:paraId="029A3250" w14:textId="2D0C0725" w:rsidR="00533B26" w:rsidRPr="00332ADF" w:rsidRDefault="00533B26" w:rsidP="00810F51">
          <w:pPr>
            <w:pStyle w:val="SOPTableItemBold"/>
          </w:pPr>
          <w:r>
            <w:t xml:space="preserve">Page </w:t>
          </w:r>
          <w:r>
            <w:fldChar w:fldCharType="begin"/>
          </w:r>
          <w:r>
            <w:instrText xml:space="preserve"> PAGE  \* Arabic  \* MERGEFORMAT </w:instrText>
          </w:r>
          <w:r>
            <w:fldChar w:fldCharType="separate"/>
          </w:r>
          <w:r w:rsidR="009770FB">
            <w:t>6</w:t>
          </w:r>
          <w:r>
            <w:fldChar w:fldCharType="end"/>
          </w:r>
          <w:r>
            <w:t xml:space="preserve"> of </w:t>
          </w:r>
          <w:r w:rsidR="00AF7092">
            <w:fldChar w:fldCharType="begin"/>
          </w:r>
          <w:r w:rsidR="00AF7092">
            <w:instrText xml:space="preserve"> NUMPAGES  \* Arabic  \* MERGEFORMAT </w:instrText>
          </w:r>
          <w:r w:rsidR="00AF7092">
            <w:fldChar w:fldCharType="separate"/>
          </w:r>
          <w:r w:rsidR="009770FB">
            <w:t>6</w:t>
          </w:r>
          <w:r w:rsidR="00AF7092">
            <w:fldChar w:fldCharType="end"/>
          </w:r>
        </w:p>
      </w:tc>
    </w:tr>
  </w:tbl>
  <w:p w14:paraId="029A3252" w14:textId="77777777" w:rsidR="00533B26" w:rsidRPr="00956356" w:rsidRDefault="00533B26" w:rsidP="00533B26">
    <w:pPr>
      <w:pStyle w:val="Header"/>
      <w:rPr>
        <w:sz w:val="2"/>
        <w:szCs w:val="2"/>
      </w:rPr>
    </w:pPr>
    <w:r>
      <w:rPr>
        <w:sz w:val="2"/>
        <w:szCs w:val="2"/>
      </w:rPr>
      <w:tab/>
    </w:r>
  </w:p>
  <w:p w14:paraId="029A3253" w14:textId="77777777" w:rsidR="00533B26" w:rsidRPr="004379C4" w:rsidRDefault="00533B26" w:rsidP="00533B26">
    <w:pPr>
      <w:pStyle w:val="Header"/>
      <w:rPr>
        <w:sz w:val="2"/>
        <w:szCs w:val="2"/>
      </w:rPr>
    </w:pPr>
  </w:p>
  <w:p w14:paraId="029A3254" w14:textId="77777777" w:rsidR="006D21A8" w:rsidRPr="00533B26" w:rsidRDefault="006D21A8" w:rsidP="00533B26">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C4BAC"/>
    <w:multiLevelType w:val="multilevel"/>
    <w:tmpl w:val="7D489812"/>
    <w:lvl w:ilvl="0">
      <w:start w:val="4"/>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 w15:restartNumberingAfterBreak="0">
    <w:nsid w:val="140243A1"/>
    <w:multiLevelType w:val="hybridMultilevel"/>
    <w:tmpl w:val="86E4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5940"/>
        </w:tabs>
        <w:ind w:left="7092" w:hanging="1152"/>
      </w:pPr>
      <w:rPr>
        <w:rFonts w:hint="default"/>
      </w:rPr>
    </w:lvl>
    <w:lvl w:ilvl="4">
      <w:start w:val="1"/>
      <w:numFmt w:val="decimal"/>
      <w:pStyle w:val="SOPLevel5"/>
      <w:lvlText w:val="%1.%2.%3.%4.%5."/>
      <w:lvlJc w:val="left"/>
      <w:pPr>
        <w:tabs>
          <w:tab w:val="num" w:pos="4230"/>
        </w:tabs>
        <w:ind w:left="5670"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9EC17CC"/>
    <w:multiLevelType w:val="hybridMultilevel"/>
    <w:tmpl w:val="4528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1"/>
  </w:num>
  <w:num w:numId="16">
    <w:abstractNumId w:val="3"/>
  </w:num>
  <w:num w:numId="17">
    <w:abstractNumId w:val="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c34bgvmjU8K2xzypW3p/WRmUoqQ+AK8X525nmCsjh3fgGIwIbLKGKLfBavdhQ9VfICOhFKOEEE1qxJk9vcYijw==" w:salt="01v/w7sWEFl+aGhkVb62O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FF2716C-E9E1-4D3E-9B28-8B70812EF2F0}"/>
    <w:docVar w:name="dgnword-eventsink" w:val="676407792"/>
  </w:docVars>
  <w:rsids>
    <w:rsidRoot w:val="00E95BBF"/>
    <w:rsid w:val="00002D18"/>
    <w:rsid w:val="00004DC8"/>
    <w:rsid w:val="000074B2"/>
    <w:rsid w:val="00017963"/>
    <w:rsid w:val="00022F7F"/>
    <w:rsid w:val="00024E5E"/>
    <w:rsid w:val="000255EA"/>
    <w:rsid w:val="0003134E"/>
    <w:rsid w:val="00036C29"/>
    <w:rsid w:val="000404B6"/>
    <w:rsid w:val="00041298"/>
    <w:rsid w:val="00042DE3"/>
    <w:rsid w:val="00043045"/>
    <w:rsid w:val="00043C56"/>
    <w:rsid w:val="00045CB0"/>
    <w:rsid w:val="00046A3D"/>
    <w:rsid w:val="000501A0"/>
    <w:rsid w:val="00061CCC"/>
    <w:rsid w:val="00064708"/>
    <w:rsid w:val="00070C18"/>
    <w:rsid w:val="000947F8"/>
    <w:rsid w:val="000B1800"/>
    <w:rsid w:val="000C0353"/>
    <w:rsid w:val="000C0D77"/>
    <w:rsid w:val="000D12B2"/>
    <w:rsid w:val="000E1AC8"/>
    <w:rsid w:val="000E38F1"/>
    <w:rsid w:val="000E57E7"/>
    <w:rsid w:val="001110D4"/>
    <w:rsid w:val="00121442"/>
    <w:rsid w:val="00122953"/>
    <w:rsid w:val="00135451"/>
    <w:rsid w:val="001563A9"/>
    <w:rsid w:val="00160484"/>
    <w:rsid w:val="00166752"/>
    <w:rsid w:val="00170BA7"/>
    <w:rsid w:val="00173CFA"/>
    <w:rsid w:val="0017535A"/>
    <w:rsid w:val="001760C3"/>
    <w:rsid w:val="00187013"/>
    <w:rsid w:val="00197E46"/>
    <w:rsid w:val="001A5A2A"/>
    <w:rsid w:val="001B2264"/>
    <w:rsid w:val="001C1338"/>
    <w:rsid w:val="001C3FF9"/>
    <w:rsid w:val="001D4636"/>
    <w:rsid w:val="001E290A"/>
    <w:rsid w:val="001F18B9"/>
    <w:rsid w:val="001F1F1A"/>
    <w:rsid w:val="001F30FE"/>
    <w:rsid w:val="0020344B"/>
    <w:rsid w:val="0023256F"/>
    <w:rsid w:val="00245827"/>
    <w:rsid w:val="00250CC6"/>
    <w:rsid w:val="00251A5C"/>
    <w:rsid w:val="00257430"/>
    <w:rsid w:val="00261340"/>
    <w:rsid w:val="00264D1D"/>
    <w:rsid w:val="00270836"/>
    <w:rsid w:val="00282D03"/>
    <w:rsid w:val="002901E6"/>
    <w:rsid w:val="00293C9F"/>
    <w:rsid w:val="002A31C4"/>
    <w:rsid w:val="002B6F0C"/>
    <w:rsid w:val="002B70A7"/>
    <w:rsid w:val="002E318D"/>
    <w:rsid w:val="002E559B"/>
    <w:rsid w:val="002F06D6"/>
    <w:rsid w:val="002F2193"/>
    <w:rsid w:val="002F2773"/>
    <w:rsid w:val="003105FA"/>
    <w:rsid w:val="0032657E"/>
    <w:rsid w:val="00330420"/>
    <w:rsid w:val="00332ADF"/>
    <w:rsid w:val="00336C2A"/>
    <w:rsid w:val="003421FB"/>
    <w:rsid w:val="0034678C"/>
    <w:rsid w:val="00347242"/>
    <w:rsid w:val="00354910"/>
    <w:rsid w:val="00355D08"/>
    <w:rsid w:val="003664A8"/>
    <w:rsid w:val="0037645F"/>
    <w:rsid w:val="003941B2"/>
    <w:rsid w:val="00396DB9"/>
    <w:rsid w:val="003A0096"/>
    <w:rsid w:val="003A5F08"/>
    <w:rsid w:val="003A7560"/>
    <w:rsid w:val="003A7F1F"/>
    <w:rsid w:val="003B3CC4"/>
    <w:rsid w:val="003D226A"/>
    <w:rsid w:val="003E6964"/>
    <w:rsid w:val="003F07CF"/>
    <w:rsid w:val="003F2201"/>
    <w:rsid w:val="004048C6"/>
    <w:rsid w:val="0041035E"/>
    <w:rsid w:val="00411BBC"/>
    <w:rsid w:val="00414793"/>
    <w:rsid w:val="00417A09"/>
    <w:rsid w:val="00422927"/>
    <w:rsid w:val="0044683D"/>
    <w:rsid w:val="004626A5"/>
    <w:rsid w:val="00466236"/>
    <w:rsid w:val="00471283"/>
    <w:rsid w:val="0047427F"/>
    <w:rsid w:val="004A09DF"/>
    <w:rsid w:val="004A5920"/>
    <w:rsid w:val="004B35F1"/>
    <w:rsid w:val="004B5270"/>
    <w:rsid w:val="004B65CB"/>
    <w:rsid w:val="004C13B4"/>
    <w:rsid w:val="004E44D2"/>
    <w:rsid w:val="004F217E"/>
    <w:rsid w:val="004F34D3"/>
    <w:rsid w:val="004F4CE1"/>
    <w:rsid w:val="004F6512"/>
    <w:rsid w:val="004F7D0C"/>
    <w:rsid w:val="0051151D"/>
    <w:rsid w:val="00516C8A"/>
    <w:rsid w:val="00526267"/>
    <w:rsid w:val="005272E9"/>
    <w:rsid w:val="00533B26"/>
    <w:rsid w:val="00535A5D"/>
    <w:rsid w:val="0054777A"/>
    <w:rsid w:val="005552B8"/>
    <w:rsid w:val="00563DAB"/>
    <w:rsid w:val="00567900"/>
    <w:rsid w:val="00574A74"/>
    <w:rsid w:val="00581B56"/>
    <w:rsid w:val="005840DC"/>
    <w:rsid w:val="005866D1"/>
    <w:rsid w:val="00593979"/>
    <w:rsid w:val="005A0BD4"/>
    <w:rsid w:val="005B00C2"/>
    <w:rsid w:val="005B6D4F"/>
    <w:rsid w:val="005B6E88"/>
    <w:rsid w:val="005B71E0"/>
    <w:rsid w:val="005C3536"/>
    <w:rsid w:val="005C62F7"/>
    <w:rsid w:val="005D2DD6"/>
    <w:rsid w:val="005D4D42"/>
    <w:rsid w:val="005D6164"/>
    <w:rsid w:val="005E6E9F"/>
    <w:rsid w:val="005F36CD"/>
    <w:rsid w:val="00614417"/>
    <w:rsid w:val="006173D9"/>
    <w:rsid w:val="00634FBC"/>
    <w:rsid w:val="00642AEF"/>
    <w:rsid w:val="006444C8"/>
    <w:rsid w:val="00661C12"/>
    <w:rsid w:val="006656DC"/>
    <w:rsid w:val="00667E43"/>
    <w:rsid w:val="00671E75"/>
    <w:rsid w:val="006836E0"/>
    <w:rsid w:val="00683DD9"/>
    <w:rsid w:val="00690858"/>
    <w:rsid w:val="006922BB"/>
    <w:rsid w:val="006A0A60"/>
    <w:rsid w:val="006A1AE2"/>
    <w:rsid w:val="006A4B25"/>
    <w:rsid w:val="006B16A0"/>
    <w:rsid w:val="006B1C44"/>
    <w:rsid w:val="006D21A8"/>
    <w:rsid w:val="006D2E9A"/>
    <w:rsid w:val="006D48D5"/>
    <w:rsid w:val="006D5931"/>
    <w:rsid w:val="006F30DD"/>
    <w:rsid w:val="006F3554"/>
    <w:rsid w:val="006F5040"/>
    <w:rsid w:val="00706CDB"/>
    <w:rsid w:val="00707662"/>
    <w:rsid w:val="0071058A"/>
    <w:rsid w:val="0071175D"/>
    <w:rsid w:val="00720FE6"/>
    <w:rsid w:val="00726394"/>
    <w:rsid w:val="00743722"/>
    <w:rsid w:val="007471DF"/>
    <w:rsid w:val="007553C3"/>
    <w:rsid w:val="00757358"/>
    <w:rsid w:val="00774C40"/>
    <w:rsid w:val="00775CD3"/>
    <w:rsid w:val="007766FA"/>
    <w:rsid w:val="0078798D"/>
    <w:rsid w:val="007912CF"/>
    <w:rsid w:val="00797B7C"/>
    <w:rsid w:val="007A30D2"/>
    <w:rsid w:val="007A6D01"/>
    <w:rsid w:val="007B5A35"/>
    <w:rsid w:val="007C2FC6"/>
    <w:rsid w:val="007D0611"/>
    <w:rsid w:val="007D062D"/>
    <w:rsid w:val="007D6324"/>
    <w:rsid w:val="007F5A70"/>
    <w:rsid w:val="0080339C"/>
    <w:rsid w:val="008053FB"/>
    <w:rsid w:val="008062A6"/>
    <w:rsid w:val="0083054A"/>
    <w:rsid w:val="008348EF"/>
    <w:rsid w:val="00852B4D"/>
    <w:rsid w:val="00867BF2"/>
    <w:rsid w:val="00871B42"/>
    <w:rsid w:val="00873599"/>
    <w:rsid w:val="008851BD"/>
    <w:rsid w:val="008B33BF"/>
    <w:rsid w:val="008B7C4A"/>
    <w:rsid w:val="008C0621"/>
    <w:rsid w:val="008D250E"/>
    <w:rsid w:val="008E06D2"/>
    <w:rsid w:val="008E4350"/>
    <w:rsid w:val="008F71D0"/>
    <w:rsid w:val="009028D8"/>
    <w:rsid w:val="00907067"/>
    <w:rsid w:val="009179A9"/>
    <w:rsid w:val="00926FE2"/>
    <w:rsid w:val="0093159B"/>
    <w:rsid w:val="00935262"/>
    <w:rsid w:val="00950F0B"/>
    <w:rsid w:val="009528B1"/>
    <w:rsid w:val="00952DFB"/>
    <w:rsid w:val="009538BF"/>
    <w:rsid w:val="00956356"/>
    <w:rsid w:val="00967319"/>
    <w:rsid w:val="009770FB"/>
    <w:rsid w:val="00986E9E"/>
    <w:rsid w:val="0099265F"/>
    <w:rsid w:val="009A0A2E"/>
    <w:rsid w:val="009A78E0"/>
    <w:rsid w:val="009B3616"/>
    <w:rsid w:val="009C08B1"/>
    <w:rsid w:val="009C17B2"/>
    <w:rsid w:val="009C246E"/>
    <w:rsid w:val="009C2950"/>
    <w:rsid w:val="009D0390"/>
    <w:rsid w:val="009D3DE8"/>
    <w:rsid w:val="009E4905"/>
    <w:rsid w:val="009E793B"/>
    <w:rsid w:val="009F41C6"/>
    <w:rsid w:val="009F7CEF"/>
    <w:rsid w:val="00A02EDD"/>
    <w:rsid w:val="00A0344A"/>
    <w:rsid w:val="00A06A4C"/>
    <w:rsid w:val="00A06EB8"/>
    <w:rsid w:val="00A274E3"/>
    <w:rsid w:val="00A31738"/>
    <w:rsid w:val="00A406BF"/>
    <w:rsid w:val="00A42BFC"/>
    <w:rsid w:val="00A4717B"/>
    <w:rsid w:val="00A51618"/>
    <w:rsid w:val="00A524C7"/>
    <w:rsid w:val="00A65BA6"/>
    <w:rsid w:val="00A67320"/>
    <w:rsid w:val="00A7790B"/>
    <w:rsid w:val="00A82350"/>
    <w:rsid w:val="00AA1EBF"/>
    <w:rsid w:val="00AA322D"/>
    <w:rsid w:val="00AA5670"/>
    <w:rsid w:val="00AC6DFD"/>
    <w:rsid w:val="00AD66B1"/>
    <w:rsid w:val="00AE0211"/>
    <w:rsid w:val="00AF0BD6"/>
    <w:rsid w:val="00AF2104"/>
    <w:rsid w:val="00AF24CF"/>
    <w:rsid w:val="00AF4444"/>
    <w:rsid w:val="00AF7092"/>
    <w:rsid w:val="00B01FEE"/>
    <w:rsid w:val="00B10941"/>
    <w:rsid w:val="00B23176"/>
    <w:rsid w:val="00B34E9E"/>
    <w:rsid w:val="00B42EC8"/>
    <w:rsid w:val="00B62C6F"/>
    <w:rsid w:val="00B6764E"/>
    <w:rsid w:val="00B82628"/>
    <w:rsid w:val="00B8506E"/>
    <w:rsid w:val="00B91536"/>
    <w:rsid w:val="00B9293F"/>
    <w:rsid w:val="00B93487"/>
    <w:rsid w:val="00B94AF8"/>
    <w:rsid w:val="00B96227"/>
    <w:rsid w:val="00B96736"/>
    <w:rsid w:val="00BA2234"/>
    <w:rsid w:val="00BA3067"/>
    <w:rsid w:val="00BA55F4"/>
    <w:rsid w:val="00BA7FBA"/>
    <w:rsid w:val="00BB34A7"/>
    <w:rsid w:val="00BB4512"/>
    <w:rsid w:val="00BC0575"/>
    <w:rsid w:val="00BC40D9"/>
    <w:rsid w:val="00BD3193"/>
    <w:rsid w:val="00BD62CE"/>
    <w:rsid w:val="00BE3293"/>
    <w:rsid w:val="00BF7355"/>
    <w:rsid w:val="00BF7A03"/>
    <w:rsid w:val="00C164FC"/>
    <w:rsid w:val="00C22AD9"/>
    <w:rsid w:val="00C25499"/>
    <w:rsid w:val="00C27C3A"/>
    <w:rsid w:val="00C33B73"/>
    <w:rsid w:val="00C33CF2"/>
    <w:rsid w:val="00C36FC5"/>
    <w:rsid w:val="00C37405"/>
    <w:rsid w:val="00C40B5F"/>
    <w:rsid w:val="00C50D75"/>
    <w:rsid w:val="00C50D91"/>
    <w:rsid w:val="00C53A62"/>
    <w:rsid w:val="00C549EE"/>
    <w:rsid w:val="00C663C2"/>
    <w:rsid w:val="00C77C82"/>
    <w:rsid w:val="00C82620"/>
    <w:rsid w:val="00C83AC1"/>
    <w:rsid w:val="00C878AC"/>
    <w:rsid w:val="00CA60A6"/>
    <w:rsid w:val="00CB0BAF"/>
    <w:rsid w:val="00CB14A5"/>
    <w:rsid w:val="00CB31B6"/>
    <w:rsid w:val="00CD2B51"/>
    <w:rsid w:val="00CD4224"/>
    <w:rsid w:val="00CD79B5"/>
    <w:rsid w:val="00CE0C4E"/>
    <w:rsid w:val="00CE2745"/>
    <w:rsid w:val="00CE6B09"/>
    <w:rsid w:val="00CE702A"/>
    <w:rsid w:val="00CF623B"/>
    <w:rsid w:val="00D00014"/>
    <w:rsid w:val="00D068B3"/>
    <w:rsid w:val="00D17D6D"/>
    <w:rsid w:val="00D25A90"/>
    <w:rsid w:val="00D37174"/>
    <w:rsid w:val="00D37BA8"/>
    <w:rsid w:val="00D514F0"/>
    <w:rsid w:val="00D518C5"/>
    <w:rsid w:val="00D55726"/>
    <w:rsid w:val="00D55BFC"/>
    <w:rsid w:val="00D565CD"/>
    <w:rsid w:val="00D7555B"/>
    <w:rsid w:val="00D75D8A"/>
    <w:rsid w:val="00D83094"/>
    <w:rsid w:val="00D90516"/>
    <w:rsid w:val="00D96ED1"/>
    <w:rsid w:val="00DA20BA"/>
    <w:rsid w:val="00DA5A4B"/>
    <w:rsid w:val="00DB4423"/>
    <w:rsid w:val="00DC23C5"/>
    <w:rsid w:val="00DD2A9E"/>
    <w:rsid w:val="00DD4EE3"/>
    <w:rsid w:val="00DD6188"/>
    <w:rsid w:val="00DE1CA7"/>
    <w:rsid w:val="00DF2C9C"/>
    <w:rsid w:val="00DF5E89"/>
    <w:rsid w:val="00DF7E3E"/>
    <w:rsid w:val="00E00D6A"/>
    <w:rsid w:val="00E03F17"/>
    <w:rsid w:val="00E215F5"/>
    <w:rsid w:val="00E23DFE"/>
    <w:rsid w:val="00E30936"/>
    <w:rsid w:val="00E60F7D"/>
    <w:rsid w:val="00E64DD5"/>
    <w:rsid w:val="00E662CC"/>
    <w:rsid w:val="00E71323"/>
    <w:rsid w:val="00E77F58"/>
    <w:rsid w:val="00E8719A"/>
    <w:rsid w:val="00E90BCA"/>
    <w:rsid w:val="00E92501"/>
    <w:rsid w:val="00E95BBF"/>
    <w:rsid w:val="00E9731C"/>
    <w:rsid w:val="00EB2241"/>
    <w:rsid w:val="00EC1844"/>
    <w:rsid w:val="00EC541E"/>
    <w:rsid w:val="00EC73EA"/>
    <w:rsid w:val="00ED375A"/>
    <w:rsid w:val="00ED747B"/>
    <w:rsid w:val="00EF02BF"/>
    <w:rsid w:val="00F11725"/>
    <w:rsid w:val="00F20894"/>
    <w:rsid w:val="00F25C38"/>
    <w:rsid w:val="00F3373F"/>
    <w:rsid w:val="00F44014"/>
    <w:rsid w:val="00F5185F"/>
    <w:rsid w:val="00F531ED"/>
    <w:rsid w:val="00F53FC4"/>
    <w:rsid w:val="00F65A07"/>
    <w:rsid w:val="00F6641A"/>
    <w:rsid w:val="00F715C5"/>
    <w:rsid w:val="00F816F4"/>
    <w:rsid w:val="00F8294B"/>
    <w:rsid w:val="00F84BF7"/>
    <w:rsid w:val="00F84E2D"/>
    <w:rsid w:val="00F86504"/>
    <w:rsid w:val="00F9126E"/>
    <w:rsid w:val="00F9369D"/>
    <w:rsid w:val="00F942A3"/>
    <w:rsid w:val="00F94A19"/>
    <w:rsid w:val="00FA12D2"/>
    <w:rsid w:val="00FA240C"/>
    <w:rsid w:val="00FA4BC8"/>
    <w:rsid w:val="00FB001D"/>
    <w:rsid w:val="00FB310D"/>
    <w:rsid w:val="00FB4385"/>
    <w:rsid w:val="00FC67FF"/>
    <w:rsid w:val="00FC6C92"/>
    <w:rsid w:val="00FD062D"/>
    <w:rsid w:val="00FD110F"/>
    <w:rsid w:val="00FF2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A31FB"/>
  <w15:docId w15:val="{386A7D1D-096A-4E6E-A139-B975B102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224"/>
  </w:style>
  <w:style w:type="paragraph" w:styleId="Heading1">
    <w:name w:val="heading 1"/>
    <w:basedOn w:val="Normal"/>
    <w:next w:val="Normal"/>
    <w:link w:val="Heading1Char"/>
    <w:uiPriority w:val="9"/>
    <w:qFormat/>
    <w:rsid w:val="00CD79B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3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264D1D"/>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264D1D"/>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264D1D"/>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264D1D"/>
    <w:pPr>
      <w:jc w:val="right"/>
    </w:pPr>
    <w:rPr>
      <w:b/>
      <w:bCs/>
      <w:i/>
      <w:iCs/>
      <w:color w:val="FF0000"/>
    </w:rPr>
  </w:style>
  <w:style w:type="paragraph" w:customStyle="1" w:styleId="SOPTableHeader">
    <w:name w:val="SOP Table Header"/>
    <w:basedOn w:val="SOPBasis"/>
    <w:qFormat/>
    <w:rsid w:val="00264D1D"/>
    <w:pPr>
      <w:tabs>
        <w:tab w:val="right" w:pos="2178"/>
      </w:tabs>
    </w:pPr>
    <w:rPr>
      <w:b/>
      <w:bCs/>
      <w:color w:val="000000"/>
      <w:sz w:val="16"/>
      <w:szCs w:val="16"/>
    </w:rPr>
  </w:style>
  <w:style w:type="paragraph" w:customStyle="1" w:styleId="SOPTableItem">
    <w:name w:val="SOP Table Item"/>
    <w:basedOn w:val="SOPBasis"/>
    <w:qFormat/>
    <w:rsid w:val="00264D1D"/>
    <w:pPr>
      <w:jc w:val="center"/>
    </w:pPr>
    <w:rPr>
      <w:b/>
      <w:bCs/>
      <w:noProof/>
      <w:color w:val="000000"/>
      <w:sz w:val="16"/>
      <w:szCs w:val="16"/>
    </w:rPr>
  </w:style>
  <w:style w:type="paragraph" w:customStyle="1" w:styleId="SOPTableItemSignature">
    <w:name w:val="SOP Table Item Signature"/>
    <w:basedOn w:val="SOPTableItem"/>
    <w:next w:val="SOPTableItem"/>
    <w:autoRedefine/>
    <w:rsid w:val="00264D1D"/>
    <w:rPr>
      <w:i/>
      <w:color w:val="0000FF"/>
    </w:rPr>
  </w:style>
  <w:style w:type="paragraph" w:customStyle="1" w:styleId="SOPTableItemBold">
    <w:name w:val="SOP Table Item Bold"/>
    <w:basedOn w:val="SOPTableItem"/>
    <w:qFormat/>
    <w:rsid w:val="00264D1D"/>
    <w:rPr>
      <w:bCs w:val="0"/>
      <w:sz w:val="20"/>
      <w:szCs w:val="20"/>
    </w:rPr>
  </w:style>
  <w:style w:type="paragraph" w:customStyle="1" w:styleId="SOPTitle">
    <w:name w:val="SOP Title"/>
    <w:basedOn w:val="SOPBasis"/>
    <w:next w:val="SOPBasis"/>
    <w:qFormat/>
    <w:rsid w:val="00264D1D"/>
    <w:rPr>
      <w:b/>
      <w:bCs/>
      <w:sz w:val="28"/>
      <w:szCs w:val="28"/>
    </w:rPr>
  </w:style>
  <w:style w:type="paragraph" w:styleId="ListParagraph">
    <w:name w:val="List Paragraph"/>
    <w:basedOn w:val="Normal"/>
    <w:uiPriority w:val="34"/>
    <w:qFormat/>
    <w:rsid w:val="00CD4224"/>
    <w:pPr>
      <w:ind w:left="720"/>
      <w:contextualSpacing/>
    </w:pPr>
  </w:style>
  <w:style w:type="paragraph" w:customStyle="1" w:styleId="SOPLevel1">
    <w:name w:val="SOP Level 1"/>
    <w:basedOn w:val="SOPBasis"/>
    <w:qFormat/>
    <w:rsid w:val="00264D1D"/>
    <w:pPr>
      <w:numPr>
        <w:numId w:val="14"/>
      </w:numPr>
      <w:spacing w:before="120" w:after="120"/>
    </w:pPr>
    <w:rPr>
      <w:b/>
      <w:sz w:val="28"/>
    </w:rPr>
  </w:style>
  <w:style w:type="paragraph" w:customStyle="1" w:styleId="SOPLevel2">
    <w:name w:val="SOP Level 2"/>
    <w:basedOn w:val="SOPBasis"/>
    <w:qFormat/>
    <w:rsid w:val="00264D1D"/>
    <w:pPr>
      <w:numPr>
        <w:ilvl w:val="1"/>
        <w:numId w:val="14"/>
      </w:numPr>
      <w:spacing w:before="120" w:after="120"/>
      <w:contextualSpacing/>
    </w:pPr>
  </w:style>
  <w:style w:type="paragraph" w:customStyle="1" w:styleId="SOPLevel3">
    <w:name w:val="SOP Level 3"/>
    <w:basedOn w:val="SOPBasis"/>
    <w:qFormat/>
    <w:rsid w:val="00264D1D"/>
    <w:pPr>
      <w:numPr>
        <w:ilvl w:val="2"/>
        <w:numId w:val="14"/>
      </w:numPr>
      <w:spacing w:before="120" w:after="120"/>
      <w:contextualSpacing/>
    </w:pPr>
  </w:style>
  <w:style w:type="paragraph" w:customStyle="1" w:styleId="SOPLevel4">
    <w:name w:val="SOP Level 4"/>
    <w:basedOn w:val="SOPBasis"/>
    <w:qFormat/>
    <w:rsid w:val="00264D1D"/>
    <w:pPr>
      <w:numPr>
        <w:ilvl w:val="3"/>
        <w:numId w:val="14"/>
      </w:numPr>
      <w:tabs>
        <w:tab w:val="clear" w:pos="5940"/>
      </w:tabs>
      <w:spacing w:before="120" w:after="120"/>
      <w:ind w:left="3168"/>
      <w:contextualSpacing/>
    </w:pPr>
  </w:style>
  <w:style w:type="paragraph" w:customStyle="1" w:styleId="SOPLevel5">
    <w:name w:val="SOP Level 5"/>
    <w:basedOn w:val="SOPBasis"/>
    <w:qFormat/>
    <w:rsid w:val="00264D1D"/>
    <w:pPr>
      <w:numPr>
        <w:ilvl w:val="4"/>
        <w:numId w:val="14"/>
      </w:numPr>
      <w:tabs>
        <w:tab w:val="clear" w:pos="4230"/>
      </w:tabs>
      <w:spacing w:before="120" w:after="120"/>
      <w:ind w:left="4032" w:hanging="1152"/>
      <w:contextualSpacing/>
    </w:pPr>
  </w:style>
  <w:style w:type="paragraph" w:customStyle="1" w:styleId="SOPLevel6">
    <w:name w:val="SOP Level 6"/>
    <w:basedOn w:val="SOPBasis"/>
    <w:qFormat/>
    <w:rsid w:val="00264D1D"/>
    <w:pPr>
      <w:numPr>
        <w:ilvl w:val="5"/>
        <w:numId w:val="14"/>
      </w:numPr>
      <w:tabs>
        <w:tab w:val="clear" w:pos="4608"/>
      </w:tabs>
      <w:spacing w:before="120" w:after="120"/>
      <w:ind w:left="5184" w:hanging="1152"/>
      <w:contextualSpacing/>
    </w:pPr>
  </w:style>
  <w:style w:type="paragraph" w:customStyle="1" w:styleId="SOPFooter">
    <w:name w:val="SOP Footer"/>
    <w:basedOn w:val="SOPBasis"/>
    <w:autoRedefine/>
    <w:qFormat/>
    <w:rsid w:val="00264D1D"/>
    <w:pPr>
      <w:spacing w:before="120"/>
      <w:jc w:val="center"/>
    </w:pPr>
    <w:rPr>
      <w:sz w:val="16"/>
      <w:szCs w:val="16"/>
    </w:rPr>
  </w:style>
  <w:style w:type="character" w:customStyle="1" w:styleId="SOPDefault">
    <w:name w:val="SOP Default"/>
    <w:basedOn w:val="DefaultParagraphFont"/>
    <w:uiPriority w:val="1"/>
    <w:qFormat/>
    <w:rsid w:val="00264D1D"/>
  </w:style>
  <w:style w:type="character" w:customStyle="1" w:styleId="SOPDefinition">
    <w:name w:val="SOP Definition"/>
    <w:basedOn w:val="SOPDefault"/>
    <w:uiPriority w:val="1"/>
    <w:qFormat/>
    <w:rsid w:val="00264D1D"/>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paragraph" w:customStyle="1" w:styleId="Image">
    <w:name w:val="Image"/>
    <w:basedOn w:val="Normal"/>
    <w:next w:val="Normal"/>
    <w:qFormat/>
    <w:rsid w:val="00CD4224"/>
    <w:pPr>
      <w:spacing w:after="0" w:line="240" w:lineRule="auto"/>
      <w:jc w:val="center"/>
    </w:pPr>
    <w:rPr>
      <w:color w:val="FFFFFF" w:themeColor="background1"/>
    </w:rPr>
  </w:style>
  <w:style w:type="character" w:styleId="Hyperlink">
    <w:name w:val="Hyperlink"/>
    <w:basedOn w:val="DefaultParagraphFont"/>
    <w:uiPriority w:val="99"/>
    <w:unhideWhenUsed/>
    <w:rsid w:val="006F30DD"/>
    <w:rPr>
      <w:color w:val="0000FF" w:themeColor="hyperlink"/>
      <w:u w:val="single"/>
    </w:rPr>
  </w:style>
  <w:style w:type="character" w:styleId="FollowedHyperlink">
    <w:name w:val="FollowedHyperlink"/>
    <w:basedOn w:val="DefaultParagraphFont"/>
    <w:uiPriority w:val="99"/>
    <w:semiHidden/>
    <w:unhideWhenUsed/>
    <w:rsid w:val="006F30DD"/>
    <w:rPr>
      <w:color w:val="800080" w:themeColor="followedHyperlink"/>
      <w:u w:val="single"/>
    </w:rPr>
  </w:style>
  <w:style w:type="character" w:styleId="CommentReference">
    <w:name w:val="annotation reference"/>
    <w:basedOn w:val="DefaultParagraphFont"/>
    <w:uiPriority w:val="99"/>
    <w:semiHidden/>
    <w:unhideWhenUsed/>
    <w:rsid w:val="0083054A"/>
    <w:rPr>
      <w:sz w:val="16"/>
      <w:szCs w:val="16"/>
    </w:rPr>
  </w:style>
  <w:style w:type="paragraph" w:styleId="CommentText">
    <w:name w:val="annotation text"/>
    <w:basedOn w:val="Normal"/>
    <w:link w:val="CommentTextChar"/>
    <w:uiPriority w:val="99"/>
    <w:semiHidden/>
    <w:unhideWhenUsed/>
    <w:rsid w:val="0083054A"/>
    <w:pPr>
      <w:spacing w:line="240" w:lineRule="auto"/>
    </w:pPr>
    <w:rPr>
      <w:sz w:val="20"/>
      <w:szCs w:val="20"/>
    </w:rPr>
  </w:style>
  <w:style w:type="character" w:customStyle="1" w:styleId="CommentTextChar">
    <w:name w:val="Comment Text Char"/>
    <w:basedOn w:val="DefaultParagraphFont"/>
    <w:link w:val="CommentText"/>
    <w:uiPriority w:val="99"/>
    <w:semiHidden/>
    <w:rsid w:val="0083054A"/>
    <w:rPr>
      <w:sz w:val="20"/>
      <w:szCs w:val="20"/>
    </w:rPr>
  </w:style>
  <w:style w:type="paragraph" w:styleId="CommentSubject">
    <w:name w:val="annotation subject"/>
    <w:basedOn w:val="CommentText"/>
    <w:next w:val="CommentText"/>
    <w:link w:val="CommentSubjectChar"/>
    <w:uiPriority w:val="99"/>
    <w:semiHidden/>
    <w:unhideWhenUsed/>
    <w:rsid w:val="0083054A"/>
    <w:rPr>
      <w:b/>
      <w:bCs/>
    </w:rPr>
  </w:style>
  <w:style w:type="character" w:customStyle="1" w:styleId="CommentSubjectChar">
    <w:name w:val="Comment Subject Char"/>
    <w:basedOn w:val="CommentTextChar"/>
    <w:link w:val="CommentSubject"/>
    <w:uiPriority w:val="99"/>
    <w:semiHidden/>
    <w:rsid w:val="0083054A"/>
    <w:rPr>
      <w:b/>
      <w:bCs/>
      <w:sz w:val="20"/>
      <w:szCs w:val="20"/>
    </w:rPr>
  </w:style>
  <w:style w:type="character" w:customStyle="1" w:styleId="Heading1Char">
    <w:name w:val="Heading 1 Char"/>
    <w:basedOn w:val="DefaultParagraphFont"/>
    <w:link w:val="Heading1"/>
    <w:uiPriority w:val="9"/>
    <w:rsid w:val="00CD79B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50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A7A403E41FC4C8423951C142D2F6D" ma:contentTypeVersion="2" ma:contentTypeDescription="Create a new document." ma:contentTypeScope="" ma:versionID="cda1e5d477b0c47c4103e57024d84e89">
  <xsd:schema xmlns:xsd="http://www.w3.org/2001/XMLSchema" xmlns:p="http://schemas.microsoft.com/office/2006/metadata/properties" xmlns:ns2="9f506b33-51d1-4e1b-9d93-9b1c88fdb660" targetNamespace="http://schemas.microsoft.com/office/2006/metadata/properties" ma:root="true" ma:fieldsID="d6eda59c64bf8820a226730a5db2e51e" ns2:_="">
    <xsd:import namespace="9f506b33-51d1-4e1b-9d93-9b1c88fdb660"/>
    <xsd:element name="properties">
      <xsd:complexType>
        <xsd:sequence>
          <xsd:element name="documentManagement">
            <xsd:complexType>
              <xsd:all>
                <xsd:element ref="ns2:WIRB" minOccurs="0"/>
                <xsd:element ref="ns2:Comments" minOccurs="0"/>
              </xsd:all>
            </xsd:complexType>
          </xsd:element>
        </xsd:sequence>
      </xsd:complexType>
    </xsd:element>
  </xsd:schema>
  <xsd:schema xmlns:xsd="http://www.w3.org/2001/XMLSchema" xmlns:dms="http://schemas.microsoft.com/office/2006/documentManagement/types" targetNamespace="9f506b33-51d1-4e1b-9d93-9b1c88fdb660" elementFormDefault="qualified">
    <xsd:import namespace="http://schemas.microsoft.com/office/2006/documentManagement/types"/>
    <xsd:element name="WIRB" ma:index="8" nillable="true" ma:displayName="WIRB" ma:default="1" ma:description="Whether this document applies to WIRB" ma:internalName="WIRB">
      <xsd:simpleType>
        <xsd:restriction base="dms:Boolean"/>
      </xsd:simpleType>
    </xsd:element>
    <xsd:element name="Comments" ma:index="9"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mments xmlns="9f506b33-51d1-4e1b-9d93-9b1c88fdb660" xsi:nil="true"/>
    <WIRB xmlns="9f506b33-51d1-4e1b-9d93-9b1c88fdb660">true</WIR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4CED9-AAA1-449D-AD4F-491B64EAB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06b33-51d1-4e1b-9d93-9b1c88fdb6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202EAC4-CF61-4338-95A6-927DACE3E0A4}">
  <ds:schemaRefs>
    <ds:schemaRef ds:uri="http://schemas.microsoft.com/sharepoint/v3/contenttype/forms"/>
  </ds:schemaRefs>
</ds:datastoreItem>
</file>

<file path=customXml/itemProps3.xml><?xml version="1.0" encoding="utf-8"?>
<ds:datastoreItem xmlns:ds="http://schemas.openxmlformats.org/officeDocument/2006/customXml" ds:itemID="{4577185D-B392-480F-857E-11262510EE93}">
  <ds:schemaRefs>
    <ds:schemaRef ds:uri="http://schemas.microsoft.com/office/2006/metadata/properties"/>
    <ds:schemaRef ds:uri="9f506b33-51d1-4e1b-9d93-9b1c88fdb660"/>
  </ds:schemaRefs>
</ds:datastoreItem>
</file>

<file path=customXml/itemProps4.xml><?xml version="1.0" encoding="utf-8"?>
<ds:datastoreItem xmlns:ds="http://schemas.openxmlformats.org/officeDocument/2006/customXml" ds:itemID="{BCE9C477-E7D9-4886-A0C3-988598A52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2558</Words>
  <Characters>14585</Characters>
  <Application>Microsoft Office Word</Application>
  <DocSecurity>8</DocSecurity>
  <Lines>121</Lines>
  <Paragraphs>34</Paragraphs>
  <ScaleCrop>false</ScaleCrop>
  <HeadingPairs>
    <vt:vector size="2" baseType="variant">
      <vt:variant>
        <vt:lpstr>Title</vt:lpstr>
      </vt:variant>
      <vt:variant>
        <vt:i4>1</vt:i4>
      </vt:variant>
    </vt:vector>
  </HeadingPairs>
  <TitlesOfParts>
    <vt:vector size="1" baseType="lpstr">
      <vt:lpstr>POLICY: Definitions</vt:lpstr>
    </vt:vector>
  </TitlesOfParts>
  <Company>Copyright © 2013 WIRB-Copernicus Group. All rights reserved.</Company>
  <LinksUpToDate>false</LinksUpToDate>
  <CharactersWithSpaces>17109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Definitions</dc:title>
  <dc:subject>HRP-001</dc:subject>
  <dc:creator>Jeffrey A. Cooper, MD, MMM</dc:creator>
  <dc:description>dd MMM yyyy</dc:description>
  <cp:lastModifiedBy>Hood, Amber Nicole</cp:lastModifiedBy>
  <cp:revision>2</cp:revision>
  <cp:lastPrinted>2012-12-27T22:05:00Z</cp:lastPrinted>
  <dcterms:created xsi:type="dcterms:W3CDTF">2021-02-08T16:01:00Z</dcterms:created>
  <dcterms:modified xsi:type="dcterms:W3CDTF">2021-02-08T16:01:00Z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0x010100781A7A403E41FC4C8423951C142D2F6D</vt:lpwstr>
  </property>
</Properties>
</file>