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688D8" w14:textId="77777777" w:rsidR="00A40262" w:rsidRPr="008F1FCE" w:rsidRDefault="00A40262" w:rsidP="00A40262">
      <w:pPr>
        <w:pStyle w:val="SOPLevel1"/>
        <w:numPr>
          <w:ilvl w:val="0"/>
          <w:numId w:val="2"/>
        </w:numPr>
      </w:pPr>
      <w:r w:rsidRPr="008F1FCE">
        <w:t>PURPOSE</w:t>
      </w:r>
    </w:p>
    <w:p w14:paraId="202C87F5" w14:textId="7739EDEF" w:rsidR="00A40262" w:rsidRPr="00050591" w:rsidRDefault="00A40262" w:rsidP="00A40262">
      <w:pPr>
        <w:pStyle w:val="SOPLevel2"/>
        <w:numPr>
          <w:ilvl w:val="1"/>
          <w:numId w:val="2"/>
        </w:numPr>
      </w:pPr>
      <w:r w:rsidRPr="00050591">
        <w:t xml:space="preserve">This </w:t>
      </w:r>
      <w:r>
        <w:t>policy</w:t>
      </w:r>
      <w:r w:rsidRPr="00050591">
        <w:t xml:space="preserve"> describes the obligations of investigators conducting &lt;Human Research&gt; overseen by </w:t>
      </w:r>
      <w:r>
        <w:t xml:space="preserve">this </w:t>
      </w:r>
      <w:r w:rsidR="001E1013">
        <w:t>University</w:t>
      </w:r>
      <w:r w:rsidRPr="00050591">
        <w:t>.</w:t>
      </w:r>
    </w:p>
    <w:p w14:paraId="67689266" w14:textId="77777777" w:rsidR="00A40262" w:rsidRPr="008F1FCE" w:rsidRDefault="00A40262" w:rsidP="00A40262">
      <w:pPr>
        <w:pStyle w:val="SOPLevel1"/>
        <w:numPr>
          <w:ilvl w:val="0"/>
          <w:numId w:val="2"/>
        </w:numPr>
      </w:pPr>
      <w:r>
        <w:t>POLICY</w:t>
      </w:r>
    </w:p>
    <w:p w14:paraId="1FF99B86" w14:textId="0E897CA0" w:rsidR="00110427" w:rsidRDefault="00110427" w:rsidP="00110427">
      <w:pPr>
        <w:pStyle w:val="SOPLevel2"/>
      </w:pPr>
      <w:r>
        <w:t>Do not commence research until you have the IRB approval letter and obtained all other required approvals, such as radiation safety approval, biosafety approval, and approvals of departments or divisions that require approval of the use of their resources.</w:t>
      </w:r>
    </w:p>
    <w:p w14:paraId="656B9095" w14:textId="77777777" w:rsidR="00110427" w:rsidRDefault="00110427" w:rsidP="00110427">
      <w:pPr>
        <w:pStyle w:val="SOPLevel3"/>
      </w:pPr>
      <w:r>
        <w:t>If there are any questions about whether you are conducting research involving human subjects, contact the IRB before commencing the study.</w:t>
      </w:r>
    </w:p>
    <w:p w14:paraId="31B917F9" w14:textId="77777777" w:rsidR="00110427" w:rsidRDefault="00110427" w:rsidP="00110427">
      <w:pPr>
        <w:pStyle w:val="SOPLevel2"/>
      </w:pPr>
      <w:r>
        <w:t>Comply with all requirements and determinations of the IRB.</w:t>
      </w:r>
    </w:p>
    <w:p w14:paraId="57C03B76" w14:textId="598AF928" w:rsidR="00110427" w:rsidRDefault="00110427" w:rsidP="000D0C68">
      <w:pPr>
        <w:pStyle w:val="SOPLevel2"/>
      </w:pPr>
      <w:r>
        <w:t>Ensure that there are adequate resources to carry out the research safely. This includes, but is not limited to, sufficient investigator time, appropriately qualified research team members, equipment, and space.</w:t>
      </w:r>
    </w:p>
    <w:p w14:paraId="4ABDAF90" w14:textId="73BF715D" w:rsidR="00110427" w:rsidRDefault="00110427" w:rsidP="00C63D62">
      <w:pPr>
        <w:pStyle w:val="SOPLevel2"/>
      </w:pPr>
      <w:r>
        <w:t>Ensure that research staff are qualified (e.g., including but not limited to appropriate training, education, expertise, credentials, protocol requirements and, when relevant, privileges) to perform procedures and duties assigned to them during the study.</w:t>
      </w:r>
    </w:p>
    <w:p w14:paraId="6A04FBD4" w14:textId="5CC78696" w:rsidR="00110427" w:rsidRDefault="00110427" w:rsidP="00110427">
      <w:pPr>
        <w:pStyle w:val="SOPLevel2"/>
      </w:pPr>
      <w:proofErr w:type="gramStart"/>
      <w:r>
        <w:t>Personally</w:t>
      </w:r>
      <w:proofErr w:type="gramEnd"/>
      <w:r>
        <w:t xml:space="preserve"> conduct or supervise the research.</w:t>
      </w:r>
    </w:p>
    <w:p w14:paraId="4F2DE142" w14:textId="6683B38A" w:rsidR="00110427" w:rsidRDefault="00110427" w:rsidP="00101710">
      <w:pPr>
        <w:pStyle w:val="SOPLevel2"/>
      </w:pPr>
      <w:r>
        <w:t>Conduct the research in accordance with the relevant current protocol approved by the IRB.</w:t>
      </w:r>
    </w:p>
    <w:p w14:paraId="2E277AF8" w14:textId="3E59F32B" w:rsidR="00110427" w:rsidRDefault="00110427" w:rsidP="00110427">
      <w:pPr>
        <w:pStyle w:val="SOPLevel2"/>
      </w:pPr>
      <w:r>
        <w:t>Protect the rights, safety, and welfare of subjects involved in the research.</w:t>
      </w:r>
    </w:p>
    <w:p w14:paraId="3BA53557" w14:textId="2EEFD9B0" w:rsidR="00110427" w:rsidRDefault="00110427" w:rsidP="00110427">
      <w:pPr>
        <w:pStyle w:val="SOPLevel2"/>
      </w:pPr>
      <w:r>
        <w:t>Submit proposed modifications to the IRB prior to their implementation.</w:t>
      </w:r>
    </w:p>
    <w:p w14:paraId="18DB5911" w14:textId="2B3055AB" w:rsidR="00110427" w:rsidRDefault="00110427" w:rsidP="00110427">
      <w:pPr>
        <w:pStyle w:val="SOPLevel3"/>
      </w:pPr>
      <w:r>
        <w:t>Do not make modifications to the research without prior IRB review and approval unless necessary to eliminate apparent immediate hazards to subjects.</w:t>
      </w:r>
    </w:p>
    <w:p w14:paraId="31F4AA4F" w14:textId="0F1F3D6F" w:rsidR="00110427" w:rsidRDefault="00110427" w:rsidP="00110427">
      <w:pPr>
        <w:pStyle w:val="SOPLevel2"/>
      </w:pPr>
      <w:r>
        <w:t>Submit continuing reviews when requested by the IRB.</w:t>
      </w:r>
    </w:p>
    <w:p w14:paraId="123656F8" w14:textId="7C5A852A" w:rsidR="00110427" w:rsidRDefault="00110427" w:rsidP="00110427">
      <w:pPr>
        <w:pStyle w:val="SOPLevel2"/>
      </w:pPr>
      <w:r>
        <w:t>Submit a closure form to close research (end the IRB’s oversight) when:</w:t>
      </w:r>
    </w:p>
    <w:p w14:paraId="49B31965" w14:textId="3192E2CA" w:rsidR="00110427" w:rsidRDefault="00110427" w:rsidP="00110427">
      <w:pPr>
        <w:pStyle w:val="SOPLevel3"/>
      </w:pPr>
      <w:r>
        <w:t>The protocol is permanently closed to enrollment</w:t>
      </w:r>
    </w:p>
    <w:p w14:paraId="5CC3FDAD" w14:textId="2B8553A0" w:rsidR="00110427" w:rsidRDefault="00110427" w:rsidP="002D2B36">
      <w:pPr>
        <w:pStyle w:val="SOPLevel3"/>
      </w:pPr>
      <w:r>
        <w:t>All subjects have completed all protocol related interventions and interactions</w:t>
      </w:r>
    </w:p>
    <w:p w14:paraId="65E7BF92" w14:textId="0D188D48" w:rsidR="00110427" w:rsidRDefault="00110427" w:rsidP="00110427">
      <w:pPr>
        <w:pStyle w:val="SOPLevel3"/>
      </w:pPr>
      <w:r>
        <w:t>For research subject to federal oversight other than FDA:</w:t>
      </w:r>
    </w:p>
    <w:p w14:paraId="3C121EE2" w14:textId="03551509" w:rsidR="00110427" w:rsidRDefault="00110427" w:rsidP="00110427">
      <w:pPr>
        <w:pStyle w:val="SOPLevel4"/>
      </w:pPr>
      <w:r>
        <w:t>No additional identifiable private information about the subjects is being obtained</w:t>
      </w:r>
    </w:p>
    <w:p w14:paraId="1E379507" w14:textId="6A0C5FD0" w:rsidR="00110427" w:rsidRDefault="00110427" w:rsidP="00110427">
      <w:pPr>
        <w:pStyle w:val="SOPLevel4"/>
      </w:pPr>
      <w:r>
        <w:t>Your analysis of private identifiable information is completed</w:t>
      </w:r>
    </w:p>
    <w:p w14:paraId="682E431B" w14:textId="48FA89D3" w:rsidR="00110427" w:rsidRDefault="00110427" w:rsidP="00E100D1">
      <w:pPr>
        <w:pStyle w:val="SOPLevel2"/>
      </w:pPr>
      <w:r>
        <w:t xml:space="preserve">If research approval expires, stop all research </w:t>
      </w:r>
      <w:proofErr w:type="gramStart"/>
      <w:r>
        <w:t>activities</w:t>
      </w:r>
      <w:proofErr w:type="gramEnd"/>
      <w:r>
        <w:t xml:space="preserve"> and immediately contact the IRB.</w:t>
      </w:r>
    </w:p>
    <w:p w14:paraId="66241A8A" w14:textId="7A197864" w:rsidR="00110427" w:rsidRDefault="00110427" w:rsidP="008B23E9">
      <w:pPr>
        <w:pStyle w:val="SOPLevel2"/>
      </w:pPr>
      <w:r>
        <w:t>Promptly report to the IRB the information items listed in “POLICY: Prompt Reporting Requirements (HRP-</w:t>
      </w:r>
      <w:r w:rsidR="00063C9A">
        <w:t>071</w:t>
      </w:r>
      <w:r>
        <w:t>).”</w:t>
      </w:r>
    </w:p>
    <w:p w14:paraId="3324F267" w14:textId="6C13AF48" w:rsidR="00110427" w:rsidRDefault="00110427" w:rsidP="0014136C">
      <w:pPr>
        <w:pStyle w:val="SOPLevel2"/>
      </w:pPr>
      <w:r>
        <w:t>Do not accept or provide payments to professionals in exchange for referrals of potential subjects (“finder’s fees.”)</w:t>
      </w:r>
    </w:p>
    <w:p w14:paraId="20E29F0D" w14:textId="43284DA1" w:rsidR="00110427" w:rsidRDefault="00110427" w:rsidP="00136265">
      <w:pPr>
        <w:pStyle w:val="SOPLevel2"/>
      </w:pPr>
      <w:r>
        <w:t>Do not accept payments designed to accelerate recruitment that were tied to the rate or timing of enrollment (“bonus payments”) without prior IRB approval.</w:t>
      </w:r>
    </w:p>
    <w:p w14:paraId="639CBEC8" w14:textId="150B53A9" w:rsidR="00A40262" w:rsidRDefault="00110427" w:rsidP="00B32E6B">
      <w:pPr>
        <w:pStyle w:val="SOPLevel2"/>
      </w:pPr>
      <w:r>
        <w:t xml:space="preserve">For studies regulated by a federal department or agency, follow </w:t>
      </w:r>
      <w:r w:rsidR="00063C9A">
        <w:t>any</w:t>
      </w:r>
      <w:r>
        <w:t xml:space="preserve"> additional o</w:t>
      </w:r>
      <w:r w:rsidR="00063C9A">
        <w:t>bligations, as applicable.</w:t>
      </w:r>
    </w:p>
    <w:p w14:paraId="36EC643A" w14:textId="77777777" w:rsidR="00921596" w:rsidRPr="008F1FCE" w:rsidRDefault="00921596" w:rsidP="00921596">
      <w:pPr>
        <w:pStyle w:val="SOPLevel2"/>
        <w:numPr>
          <w:ilvl w:val="1"/>
          <w:numId w:val="2"/>
        </w:numPr>
      </w:pPr>
      <w:r w:rsidRPr="008F1FCE">
        <w:t xml:space="preserve">For studies where ICH-GCP compliance is required, follow additional the </w:t>
      </w:r>
      <w:r>
        <w:t>obligations</w:t>
      </w:r>
      <w:r w:rsidRPr="008F1FCE">
        <w:t xml:space="preserve"> in “</w:t>
      </w:r>
      <w:r>
        <w:t>INVESTIGATOR GUIDANCE</w:t>
      </w:r>
      <w:r w:rsidRPr="008F1FCE">
        <w:t xml:space="preserve">: Additional ICH-GCP </w:t>
      </w:r>
      <w:r>
        <w:t>Obligations (HRP-816</w:t>
      </w:r>
      <w:r w:rsidRPr="008F1FCE">
        <w:t>).”</w:t>
      </w:r>
    </w:p>
    <w:p w14:paraId="25CDD46C" w14:textId="77777777" w:rsidR="00921596" w:rsidRPr="008F1FCE" w:rsidRDefault="00921596" w:rsidP="00921596">
      <w:pPr>
        <w:pStyle w:val="SOPLevel2"/>
        <w:numPr>
          <w:ilvl w:val="1"/>
          <w:numId w:val="2"/>
        </w:numPr>
      </w:pPr>
      <w:r w:rsidRPr="008F1FCE">
        <w:t xml:space="preserve">When required by the IRB ensure that consent, permission, and assent are obtained and documented in accordance with the relevant current protocol as approved by the IRB. </w:t>
      </w:r>
    </w:p>
    <w:p w14:paraId="645AF46C" w14:textId="77777777" w:rsidR="00921596" w:rsidRPr="00050591" w:rsidRDefault="00921596" w:rsidP="00921596">
      <w:pPr>
        <w:pStyle w:val="SOPLevel2"/>
        <w:numPr>
          <w:ilvl w:val="1"/>
          <w:numId w:val="2"/>
        </w:numPr>
      </w:pPr>
      <w:r w:rsidRPr="00050591">
        <w:t xml:space="preserve">Retain research records </w:t>
      </w:r>
      <w:r>
        <w:t xml:space="preserve">(including signed consent documents) </w:t>
      </w:r>
      <w:r w:rsidRPr="00050591">
        <w:t>for the greater of:</w:t>
      </w:r>
    </w:p>
    <w:p w14:paraId="105FAE20" w14:textId="77777777" w:rsidR="00921596" w:rsidRPr="00050591" w:rsidRDefault="00921596" w:rsidP="00921596">
      <w:pPr>
        <w:pStyle w:val="SOPLevel3"/>
        <w:numPr>
          <w:ilvl w:val="2"/>
          <w:numId w:val="2"/>
        </w:numPr>
      </w:pPr>
      <w:r>
        <w:t>Three</w:t>
      </w:r>
      <w:r w:rsidRPr="00050591">
        <w:t xml:space="preserve"> years after completion of the research</w:t>
      </w:r>
    </w:p>
    <w:p w14:paraId="41A7C1C4" w14:textId="77777777" w:rsidR="00921596" w:rsidRPr="00050591" w:rsidRDefault="00921596" w:rsidP="00921596">
      <w:pPr>
        <w:pStyle w:val="SOPLevel3"/>
        <w:numPr>
          <w:ilvl w:val="2"/>
          <w:numId w:val="2"/>
        </w:numPr>
      </w:pPr>
      <w:r w:rsidRPr="00050591">
        <w:t xml:space="preserve">For drug studies conducted under an IND, two years following the date a marketing application is approved for the drug for the indication for which it is being investigated; or, if no application is to be filed or if the application is not approved </w:t>
      </w:r>
      <w:r w:rsidRPr="00050591">
        <w:lastRenderedPageBreak/>
        <w:t>for such indication, until two years after the investigation is discontinued and FDA is notified.</w:t>
      </w:r>
    </w:p>
    <w:p w14:paraId="5BC14242" w14:textId="77777777" w:rsidR="00921596" w:rsidRPr="00050591" w:rsidRDefault="00921596" w:rsidP="00921596">
      <w:pPr>
        <w:pStyle w:val="SOPLevel3"/>
        <w:numPr>
          <w:ilvl w:val="2"/>
          <w:numId w:val="2"/>
        </w:numPr>
      </w:pPr>
      <w:r w:rsidRPr="00050591">
        <w:t>For device studies conducted under an IDE or abbreviated IDE, two years after the latter of the following two dates: The date on which the investigation is terminated or completed, or the date that the records are no longer required for purposes of supporting a premarket approval application or a notice of completion of a product development protocol.</w:t>
      </w:r>
    </w:p>
    <w:p w14:paraId="2017D7D0" w14:textId="77777777" w:rsidR="00921596" w:rsidRPr="00050591" w:rsidRDefault="00921596" w:rsidP="00921596">
      <w:pPr>
        <w:pStyle w:val="SOPLevel3"/>
        <w:numPr>
          <w:ilvl w:val="2"/>
          <w:numId w:val="2"/>
        </w:numPr>
      </w:pPr>
      <w:r w:rsidRPr="00050591">
        <w:t>The retention period required by the sponsor</w:t>
      </w:r>
    </w:p>
    <w:p w14:paraId="4DBF0760" w14:textId="77777777" w:rsidR="00921596" w:rsidRDefault="00921596" w:rsidP="00921596">
      <w:pPr>
        <w:pStyle w:val="SOPLevel3"/>
        <w:numPr>
          <w:ilvl w:val="2"/>
          <w:numId w:val="2"/>
        </w:numPr>
      </w:pPr>
      <w:r w:rsidRPr="00050591">
        <w:t>The retention period required by local, state, or international law.</w:t>
      </w:r>
    </w:p>
    <w:p w14:paraId="348ACC49" w14:textId="77777777" w:rsidR="00921596" w:rsidRPr="00050591" w:rsidRDefault="00921596" w:rsidP="00921596">
      <w:pPr>
        <w:pStyle w:val="SOPLevel4"/>
        <w:numPr>
          <w:ilvl w:val="3"/>
          <w:numId w:val="2"/>
        </w:numPr>
      </w:pPr>
      <w:r>
        <w:t xml:space="preserve">HIPAA requires signed authorizations to be retained for six years </w:t>
      </w:r>
      <w:r w:rsidRPr="00CB53D3">
        <w:t xml:space="preserve">from the date </w:t>
      </w:r>
      <w:r>
        <w:t>signed</w:t>
      </w:r>
      <w:r w:rsidRPr="00CB53D3">
        <w:t xml:space="preserve"> or the date when it last was in effect, whichever is later</w:t>
      </w:r>
      <w:r>
        <w:t>.</w:t>
      </w:r>
    </w:p>
    <w:p w14:paraId="0F4FFAF7" w14:textId="77777777" w:rsidR="00A40262" w:rsidRPr="008F1FCE" w:rsidRDefault="00A40262" w:rsidP="00A40262">
      <w:pPr>
        <w:pStyle w:val="SOPLevel1"/>
        <w:numPr>
          <w:ilvl w:val="0"/>
          <w:numId w:val="2"/>
        </w:numPr>
      </w:pPr>
      <w:r w:rsidRPr="008F1FCE">
        <w:t>REFERENCES</w:t>
      </w:r>
    </w:p>
    <w:p w14:paraId="0A5B9652" w14:textId="77777777" w:rsidR="00A40262" w:rsidRDefault="00A40262" w:rsidP="00A40262">
      <w:pPr>
        <w:pStyle w:val="SOPLevel2"/>
        <w:numPr>
          <w:ilvl w:val="1"/>
          <w:numId w:val="2"/>
        </w:numPr>
      </w:pPr>
      <w:r w:rsidRPr="008F1FCE">
        <w:t>21 CFR §56</w:t>
      </w:r>
      <w:r>
        <w:t>.103(a)</w:t>
      </w:r>
    </w:p>
    <w:p w14:paraId="76A2914A" w14:textId="77777777" w:rsidR="00A40262" w:rsidRDefault="00A40262" w:rsidP="00A40262">
      <w:pPr>
        <w:pStyle w:val="SOPLevel2"/>
        <w:numPr>
          <w:ilvl w:val="1"/>
          <w:numId w:val="2"/>
        </w:numPr>
      </w:pPr>
      <w:r>
        <w:t xml:space="preserve">21 CFR </w:t>
      </w:r>
      <w:r w:rsidRPr="008F1FCE">
        <w:t>§</w:t>
      </w:r>
      <w:r>
        <w:t>56.108(a)</w:t>
      </w:r>
    </w:p>
    <w:p w14:paraId="55ACCB5A" w14:textId="77777777" w:rsidR="00A40262" w:rsidRDefault="00A40262" w:rsidP="00A40262">
      <w:pPr>
        <w:pStyle w:val="SOPLevel2"/>
        <w:numPr>
          <w:ilvl w:val="1"/>
          <w:numId w:val="2"/>
        </w:numPr>
      </w:pPr>
      <w:r>
        <w:t xml:space="preserve">21 CFR </w:t>
      </w:r>
      <w:r w:rsidRPr="008F1FCE">
        <w:t>§</w:t>
      </w:r>
      <w:r>
        <w:t>50.20</w:t>
      </w:r>
    </w:p>
    <w:p w14:paraId="6102251E" w14:textId="77777777" w:rsidR="00A40262" w:rsidRDefault="00A40262" w:rsidP="00A40262">
      <w:pPr>
        <w:pStyle w:val="SOPLevel2"/>
        <w:numPr>
          <w:ilvl w:val="1"/>
          <w:numId w:val="2"/>
        </w:numPr>
      </w:pPr>
      <w:r>
        <w:t xml:space="preserve">21 CFR </w:t>
      </w:r>
      <w:r w:rsidRPr="008F1FCE">
        <w:t>§</w:t>
      </w:r>
      <w:r>
        <w:t>50.25</w:t>
      </w:r>
    </w:p>
    <w:p w14:paraId="2A56DF8B" w14:textId="77777777" w:rsidR="00A40262" w:rsidRDefault="00A40262" w:rsidP="00A40262">
      <w:pPr>
        <w:pStyle w:val="SOPLevel2"/>
        <w:numPr>
          <w:ilvl w:val="1"/>
          <w:numId w:val="2"/>
        </w:numPr>
      </w:pPr>
      <w:r>
        <w:t xml:space="preserve">21 CFR </w:t>
      </w:r>
      <w:r w:rsidRPr="008F1FCE">
        <w:t>§</w:t>
      </w:r>
      <w:r>
        <w:t>50.27</w:t>
      </w:r>
    </w:p>
    <w:p w14:paraId="35F6D974" w14:textId="77777777" w:rsidR="00A40262" w:rsidRDefault="00A40262" w:rsidP="00A40262">
      <w:pPr>
        <w:pStyle w:val="SOPLevel2"/>
        <w:numPr>
          <w:ilvl w:val="1"/>
          <w:numId w:val="2"/>
        </w:numPr>
      </w:pPr>
      <w:r>
        <w:t xml:space="preserve">45 CFR </w:t>
      </w:r>
      <w:r w:rsidRPr="008F1FCE">
        <w:t>§</w:t>
      </w:r>
      <w:r>
        <w:t>46.116</w:t>
      </w:r>
    </w:p>
    <w:p w14:paraId="5A00FF4C" w14:textId="77777777" w:rsidR="00A40262" w:rsidRDefault="00A40262" w:rsidP="00A40262">
      <w:pPr>
        <w:pStyle w:val="SOPLevel2"/>
        <w:numPr>
          <w:ilvl w:val="1"/>
          <w:numId w:val="2"/>
        </w:numPr>
      </w:pPr>
      <w:r>
        <w:t xml:space="preserve">45 CFR </w:t>
      </w:r>
      <w:r w:rsidRPr="008F1FCE">
        <w:t>§</w:t>
      </w:r>
      <w:r>
        <w:t>46.117</w:t>
      </w:r>
    </w:p>
    <w:p w14:paraId="734EDD60" w14:textId="77777777" w:rsidR="00A40262" w:rsidRDefault="00A40262" w:rsidP="00A40262">
      <w:pPr>
        <w:pStyle w:val="SOPLevel2"/>
        <w:numPr>
          <w:ilvl w:val="1"/>
          <w:numId w:val="2"/>
        </w:numPr>
      </w:pPr>
      <w:r>
        <w:t>FDA Guidance for Sponsors, Clinical Investigators, and IRBs Frequently Asked Questions – Statement of Investigator (Form FDA 1572)</w:t>
      </w:r>
    </w:p>
    <w:p w14:paraId="194178F3" w14:textId="19F2C274" w:rsidR="00266C1B" w:rsidRPr="00A40262" w:rsidRDefault="00A40262" w:rsidP="00A40262">
      <w:pPr>
        <w:pStyle w:val="SOPLevel2"/>
        <w:numPr>
          <w:ilvl w:val="1"/>
          <w:numId w:val="2"/>
        </w:numPr>
      </w:pPr>
      <w:r>
        <w:t>AAHRPP Evaluation Instrument for Accreditation</w:t>
      </w:r>
    </w:p>
    <w:sectPr w:rsidR="00266C1B" w:rsidRPr="00A40262" w:rsidSect="0093159B">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12F0D" w14:textId="77777777" w:rsidR="00221195" w:rsidRDefault="00221195" w:rsidP="0093159B">
      <w:pPr>
        <w:spacing w:after="0" w:line="240" w:lineRule="auto"/>
      </w:pPr>
      <w:r>
        <w:separator/>
      </w:r>
    </w:p>
  </w:endnote>
  <w:endnote w:type="continuationSeparator" w:id="0">
    <w:p w14:paraId="48BC6611" w14:textId="77777777" w:rsidR="00221195" w:rsidRDefault="00221195" w:rsidP="0093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C2A11" w14:textId="77777777" w:rsidR="006413AE" w:rsidRDefault="00641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1790C" w14:textId="0A5A2B83" w:rsidR="00956356" w:rsidRPr="00433E1C" w:rsidRDefault="00C67262" w:rsidP="00433E1C">
    <w:pPr>
      <w:pStyle w:val="SOPFooter"/>
    </w:pPr>
    <w:r>
      <w:rPr>
        <w:rFonts w:ascii="Arial Narrow" w:hAnsi="Arial Narrow"/>
      </w:rPr>
      <w:t xml:space="preserve">This work is licensed by </w:t>
    </w:r>
    <w:hyperlink r:id="rId1" w:history="1">
      <w:r>
        <w:rPr>
          <w:rStyle w:val="Hyperlink"/>
          <w:rFonts w:ascii="Arial Narrow" w:hAnsi="Arial Narrow"/>
        </w:rPr>
        <w:t>WIRB Copernicus Group, Inc.</w:t>
      </w:r>
    </w:hyperlink>
    <w:r>
      <w:rPr>
        <w:rFonts w:ascii="Arial Narrow" w:hAnsi="Arial Narrow"/>
      </w:rPr>
      <w:t xml:space="preserve"> under a </w:t>
    </w:r>
    <w:hyperlink r:id="rId2"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77090" w14:textId="77777777" w:rsidR="006413AE" w:rsidRDefault="00641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4F78D" w14:textId="77777777" w:rsidR="00221195" w:rsidRDefault="00221195" w:rsidP="0093159B">
      <w:pPr>
        <w:spacing w:after="0" w:line="240" w:lineRule="auto"/>
      </w:pPr>
      <w:r>
        <w:separator/>
      </w:r>
    </w:p>
  </w:footnote>
  <w:footnote w:type="continuationSeparator" w:id="0">
    <w:p w14:paraId="24FF79A4" w14:textId="77777777" w:rsidR="00221195" w:rsidRDefault="00221195" w:rsidP="00931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3D785" w14:textId="77777777" w:rsidR="006413AE" w:rsidRDefault="00641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Layout w:type="fixed"/>
      <w:tblLook w:val="04A0" w:firstRow="1" w:lastRow="0" w:firstColumn="1" w:lastColumn="0" w:noHBand="0" w:noVBand="1"/>
    </w:tblPr>
    <w:tblGrid>
      <w:gridCol w:w="3399"/>
      <w:gridCol w:w="1489"/>
      <w:gridCol w:w="1489"/>
      <w:gridCol w:w="1489"/>
      <w:gridCol w:w="1489"/>
    </w:tblGrid>
    <w:tr w:rsidR="00E55D1F" w14:paraId="194178FB" w14:textId="77777777" w:rsidTr="004F1F0B">
      <w:trPr>
        <w:cantSplit/>
        <w:trHeight w:hRule="exact" w:val="720"/>
      </w:trPr>
      <w:tc>
        <w:tcPr>
          <w:tcW w:w="3484" w:type="dxa"/>
          <w:vMerge w:val="restart"/>
          <w:tcBorders>
            <w:top w:val="nil"/>
            <w:left w:val="nil"/>
            <w:bottom w:val="nil"/>
          </w:tcBorders>
          <w:shd w:val="clear" w:color="auto" w:fill="auto"/>
          <w:vAlign w:val="center"/>
        </w:tcPr>
        <w:p w14:paraId="194178F9" w14:textId="1339206E" w:rsidR="00E55D1F" w:rsidRPr="0071055B" w:rsidRDefault="000A0B11" w:rsidP="00810F51">
          <w:pPr>
            <w:pStyle w:val="Image"/>
          </w:pPr>
          <w:r>
            <w:rPr>
              <w:noProof/>
            </w:rPr>
            <w:drawing>
              <wp:inline distT="0" distB="0" distL="0" distR="0" wp14:anchorId="119DDA01" wp14:editId="4D3D17E8">
                <wp:extent cx="219456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sheet logo.jpg"/>
                        <pic:cNvPicPr/>
                      </pic:nvPicPr>
                      <pic:blipFill>
                        <a:blip r:embed="rId1">
                          <a:extLst>
                            <a:ext uri="{28A0092B-C50C-407E-A947-70E740481C1C}">
                              <a14:useLocalDpi xmlns:a14="http://schemas.microsoft.com/office/drawing/2010/main" val="0"/>
                            </a:ext>
                          </a:extLst>
                        </a:blip>
                        <a:stretch>
                          <a:fillRect/>
                        </a:stretch>
                      </pic:blipFill>
                      <pic:spPr>
                        <a:xfrm>
                          <a:off x="0" y="0"/>
                          <a:ext cx="2194560" cy="640080"/>
                        </a:xfrm>
                        <a:prstGeom prst="rect">
                          <a:avLst/>
                        </a:prstGeom>
                      </pic:spPr>
                    </pic:pic>
                  </a:graphicData>
                </a:graphic>
              </wp:inline>
            </w:drawing>
          </w:r>
        </w:p>
      </w:tc>
      <w:tc>
        <w:tcPr>
          <w:tcW w:w="6092" w:type="dxa"/>
          <w:gridSpan w:val="4"/>
          <w:vAlign w:val="center"/>
        </w:tcPr>
        <w:p w14:paraId="194178FA" w14:textId="77777777" w:rsidR="00E55D1F" w:rsidRPr="00956356" w:rsidRDefault="00221195" w:rsidP="00810F51">
          <w:pPr>
            <w:pStyle w:val="SOPTitle"/>
          </w:pPr>
          <w:r>
            <w:fldChar w:fldCharType="begin"/>
          </w:r>
          <w:r>
            <w:instrText xml:space="preserve"> TITLE   \* MERGEFORMAT </w:instrText>
          </w:r>
          <w:r>
            <w:fldChar w:fldCharType="separate"/>
          </w:r>
          <w:r w:rsidR="00C235A0">
            <w:t>POLICY: Investigator Obligations</w:t>
          </w:r>
          <w:r>
            <w:fldChar w:fldCharType="end"/>
          </w:r>
        </w:p>
      </w:tc>
    </w:tr>
    <w:tr w:rsidR="00E55D1F" w14:paraId="19417901" w14:textId="77777777" w:rsidTr="004F1F0B">
      <w:trPr>
        <w:cantSplit/>
        <w:trHeight w:hRule="exact" w:val="216"/>
      </w:trPr>
      <w:tc>
        <w:tcPr>
          <w:tcW w:w="3484" w:type="dxa"/>
          <w:vMerge/>
          <w:tcBorders>
            <w:left w:val="nil"/>
            <w:bottom w:val="nil"/>
          </w:tcBorders>
          <w:shd w:val="clear" w:color="auto" w:fill="auto"/>
        </w:tcPr>
        <w:p w14:paraId="194178FC" w14:textId="77777777" w:rsidR="00E55D1F" w:rsidRDefault="00E55D1F" w:rsidP="00810F51">
          <w:pPr>
            <w:pStyle w:val="SOPBasis"/>
          </w:pPr>
        </w:p>
      </w:tc>
      <w:tc>
        <w:tcPr>
          <w:tcW w:w="1523" w:type="dxa"/>
          <w:shd w:val="clear" w:color="auto" w:fill="D9D9D9" w:themeFill="background1" w:themeFillShade="D9"/>
          <w:vAlign w:val="center"/>
        </w:tcPr>
        <w:p w14:paraId="194178FD" w14:textId="77777777" w:rsidR="00E55D1F" w:rsidRDefault="00E55D1F" w:rsidP="00810F51">
          <w:pPr>
            <w:pStyle w:val="SOPTableHeader"/>
          </w:pPr>
          <w:r w:rsidRPr="001A5A2A">
            <w:t>Document No.:</w:t>
          </w:r>
        </w:p>
      </w:tc>
      <w:tc>
        <w:tcPr>
          <w:tcW w:w="1523" w:type="dxa"/>
          <w:shd w:val="clear" w:color="auto" w:fill="D9D9D9" w:themeFill="background1" w:themeFillShade="D9"/>
          <w:vAlign w:val="center"/>
        </w:tcPr>
        <w:p w14:paraId="194178FE" w14:textId="77777777" w:rsidR="00E55D1F" w:rsidRDefault="00E55D1F" w:rsidP="00810F51">
          <w:pPr>
            <w:pStyle w:val="SOPTableHeader"/>
          </w:pPr>
          <w:r>
            <w:t>Edition No.:</w:t>
          </w:r>
        </w:p>
      </w:tc>
      <w:tc>
        <w:tcPr>
          <w:tcW w:w="1523" w:type="dxa"/>
          <w:shd w:val="clear" w:color="auto" w:fill="D9D9D9" w:themeFill="background1" w:themeFillShade="D9"/>
          <w:vAlign w:val="center"/>
        </w:tcPr>
        <w:p w14:paraId="194178FF" w14:textId="77777777" w:rsidR="00E55D1F" w:rsidRDefault="00E55D1F" w:rsidP="00810F51">
          <w:pPr>
            <w:pStyle w:val="SOPTableHeader"/>
          </w:pPr>
          <w:r w:rsidRPr="001A5A2A">
            <w:t>Effective Date:</w:t>
          </w:r>
        </w:p>
      </w:tc>
      <w:tc>
        <w:tcPr>
          <w:tcW w:w="1523" w:type="dxa"/>
          <w:shd w:val="clear" w:color="auto" w:fill="D9D9D9" w:themeFill="background1" w:themeFillShade="D9"/>
          <w:vAlign w:val="center"/>
        </w:tcPr>
        <w:p w14:paraId="19417900" w14:textId="77777777" w:rsidR="00E55D1F" w:rsidRPr="006D2E9A" w:rsidRDefault="00E55D1F" w:rsidP="00810F51">
          <w:pPr>
            <w:pStyle w:val="SOPTableHeader"/>
          </w:pPr>
          <w:r>
            <w:t>Page:</w:t>
          </w:r>
        </w:p>
      </w:tc>
    </w:tr>
    <w:tr w:rsidR="00E55D1F" w14:paraId="19417907" w14:textId="77777777" w:rsidTr="00EE05B8">
      <w:trPr>
        <w:cantSplit/>
        <w:trHeight w:hRule="exact" w:val="360"/>
      </w:trPr>
      <w:tc>
        <w:tcPr>
          <w:tcW w:w="3484" w:type="dxa"/>
          <w:vMerge/>
          <w:tcBorders>
            <w:left w:val="nil"/>
            <w:bottom w:val="nil"/>
          </w:tcBorders>
          <w:shd w:val="clear" w:color="auto" w:fill="auto"/>
        </w:tcPr>
        <w:p w14:paraId="19417902" w14:textId="77777777" w:rsidR="00E55D1F" w:rsidRDefault="00E55D1F" w:rsidP="00810F51">
          <w:pPr>
            <w:pStyle w:val="SOPBasis"/>
          </w:pPr>
        </w:p>
      </w:tc>
      <w:tc>
        <w:tcPr>
          <w:tcW w:w="1523" w:type="dxa"/>
          <w:vAlign w:val="center"/>
        </w:tcPr>
        <w:p w14:paraId="19417903" w14:textId="77777777" w:rsidR="00E55D1F" w:rsidRPr="00332ADF" w:rsidRDefault="00221195" w:rsidP="00810F51">
          <w:pPr>
            <w:pStyle w:val="SOPTableItemBold"/>
          </w:pPr>
          <w:r>
            <w:fldChar w:fldCharType="begin"/>
          </w:r>
          <w:r>
            <w:instrText xml:space="preserve"> SUBJECT   \* MERGEFORMAT </w:instrText>
          </w:r>
          <w:r>
            <w:fldChar w:fldCharType="separate"/>
          </w:r>
          <w:r w:rsidR="00C235A0">
            <w:t>HRP-070</w:t>
          </w:r>
          <w:r>
            <w:fldChar w:fldCharType="end"/>
          </w:r>
        </w:p>
      </w:tc>
      <w:tc>
        <w:tcPr>
          <w:tcW w:w="1523" w:type="dxa"/>
          <w:vAlign w:val="center"/>
        </w:tcPr>
        <w:p w14:paraId="19417904" w14:textId="72FDD75E" w:rsidR="00E55D1F" w:rsidRPr="00332ADF" w:rsidRDefault="00E55D1F" w:rsidP="00810F51">
          <w:pPr>
            <w:pStyle w:val="SOPTableItemBold"/>
          </w:pPr>
          <w:r>
            <w:t>00</w:t>
          </w:r>
          <w:r w:rsidR="000A0B11">
            <w:t>2</w:t>
          </w:r>
        </w:p>
      </w:tc>
      <w:tc>
        <w:tcPr>
          <w:tcW w:w="1523" w:type="dxa"/>
          <w:tcMar>
            <w:left w:w="0" w:type="dxa"/>
            <w:right w:w="0" w:type="dxa"/>
          </w:tcMar>
          <w:vAlign w:val="center"/>
        </w:tcPr>
        <w:p w14:paraId="19417905" w14:textId="453888D5" w:rsidR="00E55D1F" w:rsidRPr="00332ADF" w:rsidRDefault="000A0B11" w:rsidP="00810F51">
          <w:pPr>
            <w:pStyle w:val="SOPTableItemBold"/>
          </w:pPr>
          <w:r>
            <w:t>01 Feb 2021</w:t>
          </w:r>
        </w:p>
      </w:tc>
      <w:tc>
        <w:tcPr>
          <w:tcW w:w="1523" w:type="dxa"/>
          <w:vAlign w:val="center"/>
        </w:tcPr>
        <w:p w14:paraId="19417906" w14:textId="7DACEF7B" w:rsidR="00E55D1F" w:rsidRPr="00332ADF" w:rsidRDefault="00E55D1F" w:rsidP="00810F51">
          <w:pPr>
            <w:pStyle w:val="SOPTableItemBold"/>
          </w:pPr>
          <w:r>
            <w:t xml:space="preserve">Page </w:t>
          </w:r>
          <w:r>
            <w:fldChar w:fldCharType="begin"/>
          </w:r>
          <w:r>
            <w:instrText xml:space="preserve"> PAGE  \* Arabic  \* MERGEFORMAT </w:instrText>
          </w:r>
          <w:r>
            <w:fldChar w:fldCharType="separate"/>
          </w:r>
          <w:r w:rsidR="00C5714F">
            <w:t>2</w:t>
          </w:r>
          <w:r>
            <w:fldChar w:fldCharType="end"/>
          </w:r>
          <w:r>
            <w:t xml:space="preserve"> of </w:t>
          </w:r>
          <w:r w:rsidR="00221195">
            <w:fldChar w:fldCharType="begin"/>
          </w:r>
          <w:r w:rsidR="00221195">
            <w:instrText xml:space="preserve"> NUMPAGES  \* Arabic  \* MERGEFORMAT </w:instrText>
          </w:r>
          <w:r w:rsidR="00221195">
            <w:fldChar w:fldCharType="separate"/>
          </w:r>
          <w:r w:rsidR="00C5714F">
            <w:t>2</w:t>
          </w:r>
          <w:r w:rsidR="00221195">
            <w:fldChar w:fldCharType="end"/>
          </w:r>
        </w:p>
      </w:tc>
    </w:tr>
  </w:tbl>
  <w:p w14:paraId="19417908" w14:textId="77777777" w:rsidR="00E55D1F" w:rsidRPr="00956356" w:rsidRDefault="00E55D1F" w:rsidP="00E55D1F">
    <w:pPr>
      <w:pStyle w:val="Header"/>
      <w:rPr>
        <w:sz w:val="2"/>
        <w:szCs w:val="2"/>
      </w:rPr>
    </w:pPr>
    <w:r>
      <w:rPr>
        <w:sz w:val="2"/>
        <w:szCs w:val="2"/>
      </w:rPr>
      <w:tab/>
    </w:r>
  </w:p>
  <w:p w14:paraId="19417909" w14:textId="77777777" w:rsidR="00E55D1F" w:rsidRPr="004379C4" w:rsidRDefault="00E55D1F" w:rsidP="00E55D1F">
    <w:pPr>
      <w:pStyle w:val="Header"/>
      <w:rPr>
        <w:sz w:val="2"/>
        <w:szCs w:val="2"/>
      </w:rPr>
    </w:pPr>
  </w:p>
  <w:p w14:paraId="1941790A" w14:textId="77777777" w:rsidR="006D21A8" w:rsidRPr="00E55D1F" w:rsidRDefault="006D21A8" w:rsidP="00E55D1F">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DFE0E" w14:textId="77777777" w:rsidR="006413AE" w:rsidRDefault="00641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643E389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F576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78E06F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4"/>
  </w:num>
  <w:num w:numId="4">
    <w:abstractNumId w:val="3"/>
  </w:num>
  <w:num w:numId="5">
    <w:abstractNumId w:val="0"/>
  </w:num>
  <w:num w:numId="6">
    <w:abstractNumId w:val="1"/>
  </w:num>
  <w:num w:numId="7">
    <w:abstractNumId w:val="1"/>
  </w:num>
  <w:num w:numId="8">
    <w:abstractNumId w:val="1"/>
  </w:num>
  <w:num w:numId="9">
    <w:abstractNumId w:val="1"/>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hcqLbeexQZe0CSuxwpFvGNsGpAZrEvVzj6rZxeJ3HXHUxQdpH4eiXj53jRPBBuGsSZrlypVt2necvnS/lBCCaw==" w:salt="fDOLRMR1bvvJqiSBKg6rJ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864537D-1FF3-4AAC-B280-676E87B2213C}"/>
    <w:docVar w:name="dgnword-eventsink" w:val="540746080"/>
  </w:docVars>
  <w:rsids>
    <w:rsidRoot w:val="00E95BBF"/>
    <w:rsid w:val="00001CB0"/>
    <w:rsid w:val="00002D18"/>
    <w:rsid w:val="0002168F"/>
    <w:rsid w:val="0003134E"/>
    <w:rsid w:val="000404B6"/>
    <w:rsid w:val="00043045"/>
    <w:rsid w:val="00043C56"/>
    <w:rsid w:val="00045E13"/>
    <w:rsid w:val="00050591"/>
    <w:rsid w:val="00061CCC"/>
    <w:rsid w:val="00063C9A"/>
    <w:rsid w:val="00064708"/>
    <w:rsid w:val="000675BD"/>
    <w:rsid w:val="00067D2D"/>
    <w:rsid w:val="00070C18"/>
    <w:rsid w:val="000A0B11"/>
    <w:rsid w:val="000B2D1D"/>
    <w:rsid w:val="000C2A98"/>
    <w:rsid w:val="000E1AC8"/>
    <w:rsid w:val="000F4E1B"/>
    <w:rsid w:val="00100FB4"/>
    <w:rsid w:val="00105568"/>
    <w:rsid w:val="00110427"/>
    <w:rsid w:val="0011773B"/>
    <w:rsid w:val="00141D5D"/>
    <w:rsid w:val="00147EDE"/>
    <w:rsid w:val="001563A9"/>
    <w:rsid w:val="00160484"/>
    <w:rsid w:val="00170BA7"/>
    <w:rsid w:val="00173CFA"/>
    <w:rsid w:val="0017535A"/>
    <w:rsid w:val="00187013"/>
    <w:rsid w:val="001A5A2A"/>
    <w:rsid w:val="001B2264"/>
    <w:rsid w:val="001C1338"/>
    <w:rsid w:val="001C3FF9"/>
    <w:rsid w:val="001D3C19"/>
    <w:rsid w:val="001D71DE"/>
    <w:rsid w:val="001E1013"/>
    <w:rsid w:val="001E640E"/>
    <w:rsid w:val="001F1F1A"/>
    <w:rsid w:val="001F30FE"/>
    <w:rsid w:val="0020344B"/>
    <w:rsid w:val="002036E2"/>
    <w:rsid w:val="00221195"/>
    <w:rsid w:val="002337D4"/>
    <w:rsid w:val="0023647D"/>
    <w:rsid w:val="00257403"/>
    <w:rsid w:val="00261340"/>
    <w:rsid w:val="00266C1B"/>
    <w:rsid w:val="00270836"/>
    <w:rsid w:val="00282D03"/>
    <w:rsid w:val="00297F1E"/>
    <w:rsid w:val="002A33D3"/>
    <w:rsid w:val="002A35AE"/>
    <w:rsid w:val="002B70A7"/>
    <w:rsid w:val="002E318D"/>
    <w:rsid w:val="002E7B68"/>
    <w:rsid w:val="002F2773"/>
    <w:rsid w:val="002F6E68"/>
    <w:rsid w:val="003105FA"/>
    <w:rsid w:val="00322347"/>
    <w:rsid w:val="003229F7"/>
    <w:rsid w:val="00332ADF"/>
    <w:rsid w:val="00335FDF"/>
    <w:rsid w:val="00336C2A"/>
    <w:rsid w:val="003421FB"/>
    <w:rsid w:val="00347FB2"/>
    <w:rsid w:val="00354910"/>
    <w:rsid w:val="003664A8"/>
    <w:rsid w:val="00374D31"/>
    <w:rsid w:val="003941B2"/>
    <w:rsid w:val="003A7F1F"/>
    <w:rsid w:val="003B0288"/>
    <w:rsid w:val="003C6BDC"/>
    <w:rsid w:val="003C79B3"/>
    <w:rsid w:val="003D226A"/>
    <w:rsid w:val="003D4CB6"/>
    <w:rsid w:val="003F2201"/>
    <w:rsid w:val="004049D4"/>
    <w:rsid w:val="00411BBC"/>
    <w:rsid w:val="0042367D"/>
    <w:rsid w:val="00433E1C"/>
    <w:rsid w:val="00466236"/>
    <w:rsid w:val="00471283"/>
    <w:rsid w:val="00492D18"/>
    <w:rsid w:val="004A09DF"/>
    <w:rsid w:val="004A3DE6"/>
    <w:rsid w:val="004B65CB"/>
    <w:rsid w:val="004B7039"/>
    <w:rsid w:val="004C13B4"/>
    <w:rsid w:val="004E44D2"/>
    <w:rsid w:val="004F1074"/>
    <w:rsid w:val="004F1F0B"/>
    <w:rsid w:val="004F4CE1"/>
    <w:rsid w:val="004F7D0C"/>
    <w:rsid w:val="00516C8A"/>
    <w:rsid w:val="005173AD"/>
    <w:rsid w:val="00527F5D"/>
    <w:rsid w:val="00533E94"/>
    <w:rsid w:val="00544315"/>
    <w:rsid w:val="00563DAB"/>
    <w:rsid w:val="00574250"/>
    <w:rsid w:val="005840DC"/>
    <w:rsid w:val="005B6E88"/>
    <w:rsid w:val="005C2E29"/>
    <w:rsid w:val="005D2DD6"/>
    <w:rsid w:val="005D6164"/>
    <w:rsid w:val="005F1C7E"/>
    <w:rsid w:val="006022A3"/>
    <w:rsid w:val="00611B59"/>
    <w:rsid w:val="006413AE"/>
    <w:rsid w:val="00661C12"/>
    <w:rsid w:val="006656DC"/>
    <w:rsid w:val="00667E43"/>
    <w:rsid w:val="006A0780"/>
    <w:rsid w:val="006B16A0"/>
    <w:rsid w:val="006D0A62"/>
    <w:rsid w:val="006D21A8"/>
    <w:rsid w:val="006D2E9A"/>
    <w:rsid w:val="006D48D5"/>
    <w:rsid w:val="006E40A8"/>
    <w:rsid w:val="006F3554"/>
    <w:rsid w:val="006F69D8"/>
    <w:rsid w:val="00707662"/>
    <w:rsid w:val="0072260E"/>
    <w:rsid w:val="00726394"/>
    <w:rsid w:val="00741EC3"/>
    <w:rsid w:val="007471DF"/>
    <w:rsid w:val="0075392A"/>
    <w:rsid w:val="00756664"/>
    <w:rsid w:val="00757358"/>
    <w:rsid w:val="00774C40"/>
    <w:rsid w:val="00775CD3"/>
    <w:rsid w:val="007A30D2"/>
    <w:rsid w:val="007C2FC6"/>
    <w:rsid w:val="007D062D"/>
    <w:rsid w:val="007D6324"/>
    <w:rsid w:val="007E50DA"/>
    <w:rsid w:val="007F5A70"/>
    <w:rsid w:val="0080339C"/>
    <w:rsid w:val="00804D59"/>
    <w:rsid w:val="008053FB"/>
    <w:rsid w:val="008410A1"/>
    <w:rsid w:val="008523D5"/>
    <w:rsid w:val="00867BF2"/>
    <w:rsid w:val="00873599"/>
    <w:rsid w:val="00875E10"/>
    <w:rsid w:val="008851BD"/>
    <w:rsid w:val="008B7C4A"/>
    <w:rsid w:val="008D250E"/>
    <w:rsid w:val="008E06D2"/>
    <w:rsid w:val="008E4350"/>
    <w:rsid w:val="008F2421"/>
    <w:rsid w:val="008F71D0"/>
    <w:rsid w:val="009039D5"/>
    <w:rsid w:val="00905441"/>
    <w:rsid w:val="00907067"/>
    <w:rsid w:val="0091252F"/>
    <w:rsid w:val="00921596"/>
    <w:rsid w:val="0093159B"/>
    <w:rsid w:val="00933342"/>
    <w:rsid w:val="0093396E"/>
    <w:rsid w:val="00935262"/>
    <w:rsid w:val="00952DFB"/>
    <w:rsid w:val="00955465"/>
    <w:rsid w:val="00956356"/>
    <w:rsid w:val="009564F5"/>
    <w:rsid w:val="009A0A2E"/>
    <w:rsid w:val="009C17B2"/>
    <w:rsid w:val="009C246E"/>
    <w:rsid w:val="009C2950"/>
    <w:rsid w:val="009C548C"/>
    <w:rsid w:val="009C61D2"/>
    <w:rsid w:val="009D3DE8"/>
    <w:rsid w:val="009D700C"/>
    <w:rsid w:val="009E16BC"/>
    <w:rsid w:val="009E4F49"/>
    <w:rsid w:val="009F7CEF"/>
    <w:rsid w:val="00A02EDD"/>
    <w:rsid w:val="00A06A4C"/>
    <w:rsid w:val="00A06EB8"/>
    <w:rsid w:val="00A07ADD"/>
    <w:rsid w:val="00A11501"/>
    <w:rsid w:val="00A139F1"/>
    <w:rsid w:val="00A24952"/>
    <w:rsid w:val="00A40262"/>
    <w:rsid w:val="00A4717B"/>
    <w:rsid w:val="00A524C7"/>
    <w:rsid w:val="00A65BA6"/>
    <w:rsid w:val="00A764CB"/>
    <w:rsid w:val="00A7790B"/>
    <w:rsid w:val="00A82350"/>
    <w:rsid w:val="00A864B5"/>
    <w:rsid w:val="00A92816"/>
    <w:rsid w:val="00AA1EBF"/>
    <w:rsid w:val="00AC6DFD"/>
    <w:rsid w:val="00AD0717"/>
    <w:rsid w:val="00AD66B1"/>
    <w:rsid w:val="00AF24CF"/>
    <w:rsid w:val="00B23176"/>
    <w:rsid w:val="00B311E6"/>
    <w:rsid w:val="00B34E9E"/>
    <w:rsid w:val="00B42EC8"/>
    <w:rsid w:val="00B57B17"/>
    <w:rsid w:val="00B62C6F"/>
    <w:rsid w:val="00B6764E"/>
    <w:rsid w:val="00B82628"/>
    <w:rsid w:val="00B91536"/>
    <w:rsid w:val="00B9293F"/>
    <w:rsid w:val="00B96227"/>
    <w:rsid w:val="00B96736"/>
    <w:rsid w:val="00BA2234"/>
    <w:rsid w:val="00BA7FBA"/>
    <w:rsid w:val="00BB37D0"/>
    <w:rsid w:val="00BC4B14"/>
    <w:rsid w:val="00BC5C82"/>
    <w:rsid w:val="00BD62CE"/>
    <w:rsid w:val="00BE100D"/>
    <w:rsid w:val="00BE3293"/>
    <w:rsid w:val="00BF7355"/>
    <w:rsid w:val="00C11437"/>
    <w:rsid w:val="00C164FC"/>
    <w:rsid w:val="00C235A0"/>
    <w:rsid w:val="00C33B73"/>
    <w:rsid w:val="00C36FC5"/>
    <w:rsid w:val="00C37405"/>
    <w:rsid w:val="00C379DE"/>
    <w:rsid w:val="00C50D75"/>
    <w:rsid w:val="00C5714F"/>
    <w:rsid w:val="00C67262"/>
    <w:rsid w:val="00C74A4B"/>
    <w:rsid w:val="00C77C82"/>
    <w:rsid w:val="00C878AC"/>
    <w:rsid w:val="00CA076A"/>
    <w:rsid w:val="00CB31B6"/>
    <w:rsid w:val="00CB4368"/>
    <w:rsid w:val="00CB53D3"/>
    <w:rsid w:val="00CB5E5D"/>
    <w:rsid w:val="00CD2B51"/>
    <w:rsid w:val="00CE2745"/>
    <w:rsid w:val="00CE6B09"/>
    <w:rsid w:val="00CE702A"/>
    <w:rsid w:val="00CF1C9A"/>
    <w:rsid w:val="00D00014"/>
    <w:rsid w:val="00D003A2"/>
    <w:rsid w:val="00D120C4"/>
    <w:rsid w:val="00D1567E"/>
    <w:rsid w:val="00D166B6"/>
    <w:rsid w:val="00D17D6D"/>
    <w:rsid w:val="00D23EF0"/>
    <w:rsid w:val="00D255AF"/>
    <w:rsid w:val="00D25848"/>
    <w:rsid w:val="00D25A90"/>
    <w:rsid w:val="00D37174"/>
    <w:rsid w:val="00D409D2"/>
    <w:rsid w:val="00D4620C"/>
    <w:rsid w:val="00D514F0"/>
    <w:rsid w:val="00D55726"/>
    <w:rsid w:val="00D55BFC"/>
    <w:rsid w:val="00D565CD"/>
    <w:rsid w:val="00D64852"/>
    <w:rsid w:val="00D66970"/>
    <w:rsid w:val="00D7555B"/>
    <w:rsid w:val="00D769B0"/>
    <w:rsid w:val="00D83094"/>
    <w:rsid w:val="00D96ED1"/>
    <w:rsid w:val="00DA0019"/>
    <w:rsid w:val="00DA20BA"/>
    <w:rsid w:val="00DA7FBE"/>
    <w:rsid w:val="00DB5C97"/>
    <w:rsid w:val="00DD2A9E"/>
    <w:rsid w:val="00DD4EE3"/>
    <w:rsid w:val="00DE5CA5"/>
    <w:rsid w:val="00DF2C9C"/>
    <w:rsid w:val="00E00D6A"/>
    <w:rsid w:val="00E03F17"/>
    <w:rsid w:val="00E04AD7"/>
    <w:rsid w:val="00E17B99"/>
    <w:rsid w:val="00E215F5"/>
    <w:rsid w:val="00E23DFE"/>
    <w:rsid w:val="00E54A15"/>
    <w:rsid w:val="00E55D1F"/>
    <w:rsid w:val="00E64F67"/>
    <w:rsid w:val="00E662CC"/>
    <w:rsid w:val="00E83B96"/>
    <w:rsid w:val="00E8719A"/>
    <w:rsid w:val="00E9001F"/>
    <w:rsid w:val="00E90BCA"/>
    <w:rsid w:val="00E95BBF"/>
    <w:rsid w:val="00E9731C"/>
    <w:rsid w:val="00E9738A"/>
    <w:rsid w:val="00EB2241"/>
    <w:rsid w:val="00EC1CA4"/>
    <w:rsid w:val="00EC541E"/>
    <w:rsid w:val="00ED375A"/>
    <w:rsid w:val="00EE05B8"/>
    <w:rsid w:val="00EF00F9"/>
    <w:rsid w:val="00F20894"/>
    <w:rsid w:val="00F270EB"/>
    <w:rsid w:val="00F4376B"/>
    <w:rsid w:val="00F53FC4"/>
    <w:rsid w:val="00F616E2"/>
    <w:rsid w:val="00F65A07"/>
    <w:rsid w:val="00F84E2D"/>
    <w:rsid w:val="00F8512E"/>
    <w:rsid w:val="00F86504"/>
    <w:rsid w:val="00F92905"/>
    <w:rsid w:val="00F94A19"/>
    <w:rsid w:val="00F95E2C"/>
    <w:rsid w:val="00FA240C"/>
    <w:rsid w:val="00FA4BC8"/>
    <w:rsid w:val="00FB4336"/>
    <w:rsid w:val="00FB4385"/>
    <w:rsid w:val="00FB47E1"/>
    <w:rsid w:val="00FC42D5"/>
    <w:rsid w:val="00FC67FF"/>
    <w:rsid w:val="00FC7A1D"/>
    <w:rsid w:val="00FD062D"/>
    <w:rsid w:val="00FD0700"/>
    <w:rsid w:val="00FD591D"/>
    <w:rsid w:val="00FD5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78CB"/>
  <w15:docId w15:val="{2DEE4303-EB1E-49F6-92D4-22A31D1F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2036E2"/>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2036E2"/>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2036E2"/>
    <w:pPr>
      <w:tabs>
        <w:tab w:val="right" w:pos="2178"/>
      </w:tabs>
    </w:pPr>
    <w:rPr>
      <w:b/>
      <w:bCs/>
      <w:color w:val="000000"/>
      <w:sz w:val="16"/>
      <w:szCs w:val="16"/>
    </w:rPr>
  </w:style>
  <w:style w:type="paragraph" w:customStyle="1" w:styleId="SOPTableItem">
    <w:name w:val="SOP Table Item"/>
    <w:basedOn w:val="SOPBasis"/>
    <w:qFormat/>
    <w:rsid w:val="002036E2"/>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2036E2"/>
    <w:rPr>
      <w:bCs w:val="0"/>
      <w:sz w:val="20"/>
      <w:szCs w:val="20"/>
    </w:rPr>
  </w:style>
  <w:style w:type="paragraph" w:customStyle="1" w:styleId="SOPTitle">
    <w:name w:val="SOP Title"/>
    <w:basedOn w:val="SOPBasis"/>
    <w:next w:val="SOPBasis"/>
    <w:qFormat/>
    <w:rsid w:val="002036E2"/>
    <w:rPr>
      <w:b/>
      <w:bCs/>
      <w:sz w:val="28"/>
      <w:szCs w:val="28"/>
    </w:rPr>
  </w:style>
  <w:style w:type="paragraph" w:styleId="ListParagraph">
    <w:name w:val="List Paragraph"/>
    <w:basedOn w:val="Normal"/>
    <w:uiPriority w:val="34"/>
    <w:qFormat/>
    <w:rsid w:val="002036E2"/>
    <w:pPr>
      <w:ind w:left="720"/>
      <w:contextualSpacing/>
    </w:pPr>
  </w:style>
  <w:style w:type="paragraph" w:customStyle="1" w:styleId="SOPLevel1">
    <w:name w:val="SOP Level 1"/>
    <w:basedOn w:val="SOPBasis"/>
    <w:qFormat/>
    <w:rsid w:val="002036E2"/>
    <w:pPr>
      <w:numPr>
        <w:numId w:val="11"/>
      </w:numPr>
      <w:spacing w:before="120" w:after="120"/>
    </w:pPr>
    <w:rPr>
      <w:b/>
      <w:sz w:val="28"/>
    </w:rPr>
  </w:style>
  <w:style w:type="paragraph" w:customStyle="1" w:styleId="SOPLevel2">
    <w:name w:val="SOP Level 2"/>
    <w:basedOn w:val="SOPBasis"/>
    <w:qFormat/>
    <w:rsid w:val="002036E2"/>
    <w:pPr>
      <w:numPr>
        <w:ilvl w:val="1"/>
        <w:numId w:val="11"/>
      </w:numPr>
      <w:spacing w:before="120" w:after="120"/>
      <w:contextualSpacing/>
    </w:pPr>
  </w:style>
  <w:style w:type="paragraph" w:customStyle="1" w:styleId="SOPLevel3">
    <w:name w:val="SOP Level 3"/>
    <w:basedOn w:val="SOPBasis"/>
    <w:qFormat/>
    <w:rsid w:val="002036E2"/>
    <w:pPr>
      <w:numPr>
        <w:ilvl w:val="2"/>
        <w:numId w:val="11"/>
      </w:numPr>
      <w:spacing w:before="120" w:after="120"/>
      <w:contextualSpacing/>
    </w:pPr>
  </w:style>
  <w:style w:type="paragraph" w:customStyle="1" w:styleId="SOPLevel4">
    <w:name w:val="SOP Level 4"/>
    <w:basedOn w:val="SOPBasis"/>
    <w:qFormat/>
    <w:rsid w:val="00141D5D"/>
    <w:pPr>
      <w:numPr>
        <w:ilvl w:val="3"/>
        <w:numId w:val="11"/>
      </w:numPr>
      <w:tabs>
        <w:tab w:val="clear" w:pos="2016"/>
      </w:tabs>
      <w:spacing w:before="120" w:after="120"/>
      <w:ind w:left="2880" w:hanging="864"/>
      <w:contextualSpacing/>
    </w:pPr>
  </w:style>
  <w:style w:type="paragraph" w:customStyle="1" w:styleId="SOPLevel5">
    <w:name w:val="SOP Level 5"/>
    <w:basedOn w:val="SOPBasis"/>
    <w:qFormat/>
    <w:rsid w:val="00141D5D"/>
    <w:pPr>
      <w:numPr>
        <w:ilvl w:val="4"/>
        <w:numId w:val="11"/>
      </w:numPr>
      <w:tabs>
        <w:tab w:val="clear" w:pos="3168"/>
      </w:tabs>
      <w:spacing w:before="120" w:after="120"/>
      <w:ind w:left="4032" w:hanging="1152"/>
      <w:contextualSpacing/>
    </w:pPr>
  </w:style>
  <w:style w:type="paragraph" w:customStyle="1" w:styleId="SOPLevel6">
    <w:name w:val="SOP Level 6"/>
    <w:basedOn w:val="SOPBasis"/>
    <w:qFormat/>
    <w:rsid w:val="00141D5D"/>
    <w:pPr>
      <w:numPr>
        <w:ilvl w:val="5"/>
        <w:numId w:val="11"/>
      </w:numPr>
      <w:tabs>
        <w:tab w:val="clear" w:pos="4608"/>
      </w:tabs>
      <w:spacing w:before="120" w:after="120"/>
      <w:ind w:left="5184" w:hanging="1152"/>
      <w:contextualSpacing/>
    </w:pPr>
  </w:style>
  <w:style w:type="paragraph" w:customStyle="1" w:styleId="SOPFooter">
    <w:name w:val="SOP Footer"/>
    <w:basedOn w:val="SOPBasis"/>
    <w:autoRedefine/>
    <w:qFormat/>
    <w:rsid w:val="002036E2"/>
    <w:pPr>
      <w:spacing w:before="120"/>
      <w:jc w:val="center"/>
    </w:pPr>
    <w:rPr>
      <w:sz w:val="16"/>
      <w:szCs w:val="16"/>
    </w:rPr>
  </w:style>
  <w:style w:type="character" w:customStyle="1" w:styleId="SOPDefault">
    <w:name w:val="SOP Default"/>
    <w:basedOn w:val="DefaultParagraphFont"/>
    <w:uiPriority w:val="1"/>
    <w:qFormat/>
    <w:rsid w:val="002036E2"/>
  </w:style>
  <w:style w:type="character" w:customStyle="1" w:styleId="SOPDefinition">
    <w:name w:val="SOP Definition"/>
    <w:basedOn w:val="SOPDefault"/>
    <w:uiPriority w:val="1"/>
    <w:qFormat/>
    <w:rsid w:val="002036E2"/>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character" w:styleId="Hyperlink">
    <w:name w:val="Hyperlink"/>
    <w:basedOn w:val="DefaultParagraphFont"/>
    <w:uiPriority w:val="99"/>
    <w:unhideWhenUsed/>
    <w:rsid w:val="00611B59"/>
    <w:rPr>
      <w:color w:val="0000FF" w:themeColor="hyperlink"/>
      <w:u w:val="single"/>
    </w:rPr>
  </w:style>
  <w:style w:type="paragraph" w:customStyle="1" w:styleId="Default">
    <w:name w:val="Default"/>
    <w:rsid w:val="00BC4B1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0F4E1B"/>
    <w:pPr>
      <w:spacing w:before="120"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F4E1B"/>
    <w:rPr>
      <w:rFonts w:ascii="Times New Roman" w:eastAsia="Times New Roman" w:hAnsi="Times New Roman" w:cs="Times New Roman"/>
      <w:sz w:val="24"/>
      <w:szCs w:val="24"/>
    </w:rPr>
  </w:style>
  <w:style w:type="paragraph" w:styleId="ListBullet2">
    <w:name w:val="List Bullet 2"/>
    <w:basedOn w:val="Normal"/>
    <w:rsid w:val="000F4E1B"/>
    <w:pPr>
      <w:numPr>
        <w:numId w:val="5"/>
      </w:numPr>
      <w:spacing w:after="0" w:line="240" w:lineRule="auto"/>
    </w:pPr>
    <w:rPr>
      <w:rFonts w:ascii="Times New Roman" w:eastAsia="Times New Roman" w:hAnsi="Times New Roman" w:cs="Times New Roman"/>
      <w:sz w:val="24"/>
      <w:szCs w:val="24"/>
    </w:rPr>
  </w:style>
  <w:style w:type="paragraph" w:customStyle="1" w:styleId="Image">
    <w:name w:val="Image"/>
    <w:basedOn w:val="Normal"/>
    <w:next w:val="Normal"/>
    <w:qFormat/>
    <w:rsid w:val="002036E2"/>
    <w:pPr>
      <w:spacing w:after="0" w:line="240" w:lineRule="auto"/>
      <w:jc w:val="center"/>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92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mments xmlns="9f506b33-51d1-4e1b-9d93-9b1c88fdb660" xsi:nil="true"/>
    <WIRB xmlns="9f506b33-51d1-4e1b-9d93-9b1c88fdb660">true</WIRB>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1A7A403E41FC4C8423951C142D2F6D" ma:contentTypeVersion="2" ma:contentTypeDescription="Create a new document." ma:contentTypeScope="" ma:versionID="cda1e5d477b0c47c4103e57024d84e89">
  <xsd:schema xmlns:xsd="http://www.w3.org/2001/XMLSchema" xmlns:p="http://schemas.microsoft.com/office/2006/metadata/properties" xmlns:ns2="9f506b33-51d1-4e1b-9d93-9b1c88fdb660" targetNamespace="http://schemas.microsoft.com/office/2006/metadata/properties" ma:root="true" ma:fieldsID="d6eda59c64bf8820a226730a5db2e51e" ns2:_="">
    <xsd:import namespace="9f506b33-51d1-4e1b-9d93-9b1c88fdb660"/>
    <xsd:element name="properties">
      <xsd:complexType>
        <xsd:sequence>
          <xsd:element name="documentManagement">
            <xsd:complexType>
              <xsd:all>
                <xsd:element ref="ns2:WIRB" minOccurs="0"/>
                <xsd:element ref="ns2:Comments" minOccurs="0"/>
              </xsd:all>
            </xsd:complexType>
          </xsd:element>
        </xsd:sequence>
      </xsd:complexType>
    </xsd:element>
  </xsd:schema>
  <xsd:schema xmlns:xsd="http://www.w3.org/2001/XMLSchema" xmlns:dms="http://schemas.microsoft.com/office/2006/documentManagement/types" targetNamespace="9f506b33-51d1-4e1b-9d93-9b1c88fdb660" elementFormDefault="qualified">
    <xsd:import namespace="http://schemas.microsoft.com/office/2006/documentManagement/types"/>
    <xsd:element name="WIRB" ma:index="8" nillable="true" ma:displayName="WIRB" ma:default="1" ma:description="Whether this document applies to WIRB" ma:internalName="WIRB">
      <xsd:simpleType>
        <xsd:restriction base="dms:Boolean"/>
      </xsd:simpleType>
    </xsd:element>
    <xsd:element name="Comments" ma:index="9" nillable="true" ma:displayName="Comments"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9DD14EC-6BAE-4D49-A600-22D7A7AB9C2E}">
  <ds:schemaRefs>
    <ds:schemaRef ds:uri="http://schemas.openxmlformats.org/officeDocument/2006/bibliography"/>
  </ds:schemaRefs>
</ds:datastoreItem>
</file>

<file path=customXml/itemProps2.xml><?xml version="1.0" encoding="utf-8"?>
<ds:datastoreItem xmlns:ds="http://schemas.openxmlformats.org/officeDocument/2006/customXml" ds:itemID="{5FC4CD20-07B0-434A-A715-4A05E6CF28A0}">
  <ds:schemaRefs>
    <ds:schemaRef ds:uri="http://schemas.microsoft.com/sharepoint/v3/contenttype/forms"/>
  </ds:schemaRefs>
</ds:datastoreItem>
</file>

<file path=customXml/itemProps3.xml><?xml version="1.0" encoding="utf-8"?>
<ds:datastoreItem xmlns:ds="http://schemas.openxmlformats.org/officeDocument/2006/customXml" ds:itemID="{9F084DC9-8D5A-4BF0-A552-0373401FF83B}">
  <ds:schemaRefs>
    <ds:schemaRef ds:uri="http://schemas.microsoft.com/office/2006/metadata/properties"/>
    <ds:schemaRef ds:uri="9f506b33-51d1-4e1b-9d93-9b1c88fdb660"/>
  </ds:schemaRefs>
</ds:datastoreItem>
</file>

<file path=customXml/itemProps4.xml><?xml version="1.0" encoding="utf-8"?>
<ds:datastoreItem xmlns:ds="http://schemas.openxmlformats.org/officeDocument/2006/customXml" ds:itemID="{2FDBB3E9-4F3D-42DA-80B3-40A335EEB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06b33-51d1-4e1b-9d93-9b1c88fdb6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632</Words>
  <Characters>3609</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POLICY: Investigator Obligations</vt:lpstr>
    </vt:vector>
  </TitlesOfParts>
  <Company>Copyright © 2019 WIRB-Copernicus Group. All rights reserved.</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Investigator Obligations</dc:title>
  <dc:subject>HRP-070</dc:subject>
  <dc:creator>Jeffrey A. Cooper, MD, MMM</dc:creator>
  <dc:description>dd MMM yyyy</dc:description>
  <cp:lastModifiedBy>Hood, Amber Nicole</cp:lastModifiedBy>
  <cp:revision>5</cp:revision>
  <cp:lastPrinted>2016-09-30T15:16:00Z</cp:lastPrinted>
  <dcterms:created xsi:type="dcterms:W3CDTF">2021-01-15T16:35:00Z</dcterms:created>
  <dcterms:modified xsi:type="dcterms:W3CDTF">2021-02-08T16:29:00Z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2200</vt:r8>
  </property>
</Properties>
</file>